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2C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sz w:val="21"/>
        </w:rPr>
        <w:pict>
          <v:shape id="_x0000_s1032" o:spid="_x0000_s1032" o:spt="175" type="#_x0000_t175" style="position:absolute;left:0pt;margin-left:13.25pt;margin-top:-11.65pt;height:46.6pt;width:415.85pt;z-index:251661312;mso-width-relative:page;mso-height-relative:page;" fillcolor="#FF0000" filled="t" stroked="t" coordsize="21600,21600" adj="21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六   安   市   财   政   局" style="font-family:方正小标宋简体;font-size:36pt;v-rotate-letters:f;v-same-letter-heights:f;v-text-align:center;"/>
          </v:shape>
        </w:pict>
      </w:r>
      <w:r>
        <w:rPr>
          <w:color w:val="000000" w:themeColor="text1"/>
          <w:sz w:val="21"/>
          <w14:textFill>
            <w14:solidFill>
              <w14:schemeClr w14:val="tx1"/>
            </w14:solidFill>
          </w14:textFill>
        </w:rPr>
        <w:pict>
          <v:group id="_x0000_s1029" o:spid="_x0000_s1029" o:spt="203" style="position:absolute;left:0pt;margin-left:-8.85pt;margin-top:-3.15pt;height:54.4pt;width:454.7pt;z-index:251659264;mso-width-relative:page;mso-height-relative:page;" coordorigin="14420,2318" coordsize="9094,1088">
            <o:lock v:ext="edit" aspectratio="f"/>
            <v:shape id="_x0000_s1030" o:spid="_x0000_s1030" o:spt="175" type="#_x0000_t175" style="position:absolute;left:0;top:0;height:0;width:0;" fillcolor="#FF0000" filled="t" stroked="t" coordsize="21600,21600" adj="21">
              <v:path/>
              <v:fill on="t" color2="#FFFFFF" focussize="0,0"/>
              <v:stroke color="#FF0000"/>
              <v:imagedata o:title=""/>
              <o:lock v:ext="edit" aspectratio="f"/>
              <v:textpath on="t" fitshape="t" fitpath="t" trim="t" xscale="f" string="中国共产党六安市财政局（市政府国资委）委员会" style="font-family:方正小标宋简体;font-size:36pt;v-rotate-letters:f;v-same-letter-heights:f;v-text-align:center;"/>
            </v:shape>
            <v:line id="_x0000_s1031" o:spid="_x0000_s1031" o:spt="20" style="position:absolute;left:0;top:0;height:0;width:0;" filled="f" stroked="t" coordsize="21600,21600">
              <v:path arrowok="t"/>
              <v:fill on="f" focussize="0,0"/>
              <v:stroke weight="2.25pt" color="#FF0000"/>
              <v:imagedata o:title=""/>
              <o:lock v:ext="edit" aspectratio="f"/>
            </v:line>
          </v:group>
        </w:pict>
      </w:r>
    </w:p>
    <w:p w14:paraId="55BCC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-94615</wp:posOffset>
                </wp:positionH>
                <wp:positionV relativeFrom="paragraph">
                  <wp:posOffset>229235</wp:posOffset>
                </wp:positionV>
                <wp:extent cx="5774690" cy="635"/>
                <wp:effectExtent l="0" t="13970" r="16510" b="2349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690" cy="6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.45pt;margin-top:18.05pt;height:0.05pt;width:454.7pt;z-index:251662336;mso-width-relative:page;mso-height-relative:page;" filled="f" stroked="t" coordsize="21600,21600" o:gfxdata="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HT1yoTYAAAACQEAAA8AAAAAAAAAAQAgAAAAIgAAAGRycy9kb3ducmV2Lnht&#10;bFBLAQIUABQAAAAIAIdO4kAXanB6+QEAAOcDAAAOAAAAAAAAAAEAIAAAACcBAABkcnMvZTJvRG9j&#10;LnhtbFBLBQYAAAAABgAGAFkBAACSBQAAAAA=&#10;">
                <v:path arrowok="t"/>
                <v:fill on="f" focussize="0,0"/>
                <v:stroke weight="2.25pt" color="#FF0000"/>
                <v:imagedata o:title=""/>
                <o:lock v:ext="edit" aspectratio="f"/>
              </v:line>
            </w:pict>
          </mc:Fallback>
        </mc:AlternateContent>
      </w:r>
    </w:p>
    <w:p w14:paraId="69502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A3E1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六安市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财政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局（六安市人民政府国有资产监督</w:t>
      </w:r>
    </w:p>
    <w:p w14:paraId="31CDA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管理委员会）202</w:t>
      </w:r>
      <w:r>
        <w:rPr>
          <w:rFonts w:hint="default" w:ascii="方正小标宋简体" w:hAnsi="方正小标宋简体" w:eastAsia="方正小标宋简体" w:cs="方正小标宋简体"/>
          <w:color w:val="000000" w:themeColor="text1"/>
          <w:sz w:val="44"/>
          <w:szCs w:val="44"/>
          <w:lang w:val="en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年政府信息公开</w:t>
      </w:r>
    </w:p>
    <w:p w14:paraId="5FA49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工作年度报告</w:t>
      </w:r>
    </w:p>
    <w:p w14:paraId="2A8D2E4A">
      <w:pPr>
        <w:widowControl/>
        <w:shd w:val="clear" w:color="auto" w:fill="FFFFFF"/>
        <w:jc w:val="center"/>
        <w:rPr>
          <w:rFonts w:ascii="Times New Roman" w:hAnsi="Times New Roman" w:eastAsia="方正小标宋简体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71B1F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本报告依据《中华人民共和国政府信息公开条例》（国务院令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711号）要求编制而成。全文包括总体情况、主动公开政府信息情况、收到和处理政府信息公开申请情况、政府信息公开行政复议和行政诉讼情况、存在的主要问题及改进情况和其他需要报告的事项六个部分。本年度报告中使用数据统计期限为202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年1月1日至202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年12月31日，本年度报告电子版可在六安市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财政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局政府信息公开网下载。如对本报告有任何疑问，请与六安市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财政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局联系（地址：六安市财政局大楼7楼办公室，邮编：237000，电话：0564-3378207）。</w:t>
      </w:r>
    </w:p>
    <w:p w14:paraId="7087E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一、总体情况</w:t>
      </w:r>
    </w:p>
    <w:p w14:paraId="1C435284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（一）主动公开</w:t>
      </w:r>
    </w:p>
    <w:p w14:paraId="588C4D9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0" w:firstLineChars="300"/>
        <w:jc w:val="both"/>
        <w:textAlignment w:val="auto"/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-6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-148590</wp:posOffset>
                </wp:positionH>
                <wp:positionV relativeFrom="paragraph">
                  <wp:posOffset>1566545</wp:posOffset>
                </wp:positionV>
                <wp:extent cx="5774690" cy="635"/>
                <wp:effectExtent l="0" t="13970" r="16510" b="2349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690" cy="6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7pt;margin-top:123.35pt;height:0.05pt;width:454.7pt;z-index:251663360;mso-width-relative:page;mso-height-relative:page;" filled="f" stroked="t" coordsize="21600,21600" o:gfxdata="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NplTojZAAAACwEAAA8AAAAAAAAAAQAgAAAAIgAAAGRycy9kb3ducmV2Lnht&#10;bFBLAQIUABQAAAAIAIdO4kAQtEKr+AEAAOcDAAAOAAAAAAAAAAEAIAAAACgBAABkcnMvZTJvRG9j&#10;LnhtbFBLBQYAAAAABgAGAFkBAACSBQAAAAA=&#10;">
                <v:path arrowok="t"/>
                <v:fill on="f" focussize="0,0"/>
                <v:stroke weight="2.25pt" color="#FF0000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Calibri" w:eastAsia="仿宋_GB2312" w:cs="仿宋_GB2312"/>
          <w:b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一是</w:t>
      </w:r>
      <w:r>
        <w:rPr>
          <w:rFonts w:ascii="仿宋_GB2312" w:hAnsi="Calibri" w:eastAsia="仿宋_GB2312" w:cs="仿宋_GB2312"/>
          <w:b w:val="0"/>
          <w:bCs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扎实推</w:t>
      </w:r>
      <w:r>
        <w:rPr>
          <w:rFonts w:hint="eastAsia" w:ascii="仿宋_GB2312" w:hAnsi="Times New Roman" w:eastAsia="仿宋_GB2312" w:cs="仿宋_GB2312"/>
          <w:b w:val="0"/>
          <w:bCs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进财政</w:t>
      </w:r>
      <w:r>
        <w:rPr>
          <w:rFonts w:hint="eastAsia" w:ascii="仿宋_GB2312" w:hAnsi="Calibri" w:eastAsia="仿宋_GB2312" w:cs="仿宋_GB2312"/>
          <w:b w:val="0"/>
          <w:bCs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预决算公开。强化部门预决算及“三公”经费预决算情况公开工作，丰富公开形式、细化公开内容、完善公开模板、明确公开职责、强化公开检查。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及时公开全市财政收支及预算执行情况、政府债务预决算公开及调整情况。</w:t>
      </w:r>
      <w:r>
        <w:rPr>
          <w:rFonts w:hint="eastAsia" w:ascii="仿宋_GB2312" w:hAnsi="宋体" w:eastAsia="仿宋_GB2312" w:cs="仿宋_GB2312"/>
          <w:b/>
          <w:bCs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仿宋_GB2312" w:hAnsi="宋体" w:eastAsia="仿宋_GB2312" w:cs="仿宋_GB2312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做好重点领域信息公开。聚焦财政资金、国有企业监管信息、金融服务与监管等重点领域，持续加大信息公开力度，让财政、国资、金融领域政策更广为人知、更好惠及于民，准确传递政策方向，实时推送工作动态，有效满足公众的合理信息需求。</w:t>
      </w:r>
      <w:r>
        <w:rPr>
          <w:rFonts w:hint="eastAsia" w:ascii="仿宋_GB2312" w:hAnsi="Calibri" w:eastAsia="仿宋_GB2312" w:cs="仿宋_GB2312"/>
          <w:b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三是</w:t>
      </w:r>
      <w:r>
        <w:rPr>
          <w:rFonts w:hint="eastAsia" w:ascii="仿宋_GB2312" w:hAnsi="Calibri" w:eastAsia="仿宋_GB2312" w:cs="仿宋_GB2312"/>
          <w:b w:val="0"/>
          <w:bCs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持续推进基础信息公开。动态更新我市行政事业性收费、政府性基金、市本级政府购买服务等目录清单，并参照先进地区范例，将收费项目的政策依据链接化。及时向社会公众公开</w:t>
      </w:r>
      <w:r>
        <w:rPr>
          <w:rFonts w:hint="eastAsia" w:ascii="仿宋_GB2312" w:hAnsi="Calibri" w:eastAsia="仿宋_GB2312" w:cs="仿宋_GB2312"/>
          <w:b w:val="0"/>
          <w:bCs/>
          <w:i w:val="0"/>
          <w:caps w:val="0"/>
          <w:color w:val="000000" w:themeColor="text1"/>
          <w:spacing w:val="-6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财政监督检查、地方金融机构抽查检查结果。按要求公开政府采购、会计代理记账机构、地方金融组织等领域行政权力运行结果。</w:t>
      </w:r>
    </w:p>
    <w:p w14:paraId="77036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（二）依申请公开</w:t>
      </w:r>
    </w:p>
    <w:p w14:paraId="03917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严格落实政府信息依申请公开制度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规范开展依申请公开答复工作，</w:t>
      </w:r>
      <w:r>
        <w:rPr>
          <w:rFonts w:hint="eastAsia" w:ascii="仿宋_GB2312" w:hAnsi="Times New Roman" w:eastAsia="仿宋_GB2312" w:cs="仿宋_GB2312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所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有申请事项均按收文流程经领导批示后转科室单位办理，在规定期限内答复申请人并在平台按时有效办结。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，我局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累计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受理依申请公开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线上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办件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件，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均按时办结，未引发行政复议和行政诉讼。</w:t>
      </w:r>
    </w:p>
    <w:p w14:paraId="3ED06FCC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（三）政府信息管理</w:t>
      </w:r>
    </w:p>
    <w:p w14:paraId="21A9EF7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2025年，我局积极落实政府信息公开工作要求，全年发布信息公开信息605条，上线政风行风热线2次，召开新闻发布会1场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，开展政务服务直播1场，在线解答全面实施零基预算改革、会计管理及考试、政策性农业保险等相关问题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严格执行政府信息发布审核制度，规范信息发布审核程序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，切实防范泄密和舆情风险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。安排专人对局网站和政务新媒体错敏词、错断链、严重表述错误等问题进行排查整改。</w:t>
      </w:r>
    </w:p>
    <w:p w14:paraId="4C0EE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（四）政府信息公开平台建设情况</w:t>
      </w:r>
    </w:p>
    <w:p w14:paraId="6293B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加强“六安市财政局”网站内容建设，及时发布财政国资工作动态、公示公告、财政数据等信息。利用“六安市财政局发布”微信公众号，拓宽政务公开渠道，全年微信公众号</w:t>
      </w:r>
      <w:r>
        <w:rPr>
          <w:rFonts w:hint="eastAsia" w:ascii="仿宋_GB2312" w:hAnsi="Times New Roman" w:eastAsia="仿宋_GB2312" w:cs="仿宋_GB2312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累计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发布信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息289条。</w:t>
      </w:r>
    </w:p>
    <w:p w14:paraId="7F5D66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（五）监督保障</w:t>
      </w:r>
    </w:p>
    <w:p w14:paraId="1547F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强化组织领导，根据局领导分工变动及时调整局政务公开工作领导小组，局办公室牵头抓总落实，各科室政务公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开联络员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分工配合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，细化明确公开任务，压实信息发布职责，确保责任落实到人。积极参加政务公开培训，提升政务公开工作人员的业务水平和工作能力。对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反馈的问题，及时更新完善相关信息，全力推进整改，坚持对标对表，举一反三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1825DEB9">
      <w:pPr>
        <w:bidi w:val="0"/>
        <w:ind w:firstLine="640" w:firstLineChars="200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二、主动公开政府信息情况</w:t>
      </w:r>
    </w:p>
    <w:tbl>
      <w:tblPr>
        <w:tblStyle w:val="5"/>
        <w:tblW w:w="908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0"/>
        <w:gridCol w:w="2233"/>
        <w:gridCol w:w="2435"/>
        <w:gridCol w:w="2020"/>
      </w:tblGrid>
      <w:tr w14:paraId="136AF9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08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7DBD4DF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第二十条第（一）项</w:t>
            </w:r>
          </w:p>
        </w:tc>
      </w:tr>
      <w:tr w14:paraId="7AC87C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162C60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22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4EFBF9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572609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本年废止件数</w:t>
            </w:r>
          </w:p>
        </w:tc>
        <w:tc>
          <w:tcPr>
            <w:tcW w:w="20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BFD210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现行有效件数</w:t>
            </w:r>
          </w:p>
        </w:tc>
      </w:tr>
      <w:tr w14:paraId="40B5A2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2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1896DCA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规章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722E1D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89CBC2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32C79C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086D4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21923D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行政规范性文件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DA3E3E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E08D2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D4C796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</w:tr>
      <w:tr w14:paraId="5BE9FC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08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60BD801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第二十条第（五）项</w:t>
            </w:r>
          </w:p>
        </w:tc>
      </w:tr>
      <w:tr w14:paraId="281CC2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3A07F4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668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D0950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 w14:paraId="18BF8B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CEACB40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668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69D695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</w:tr>
      <w:tr w14:paraId="20036F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08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6B5F0A5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第二十条第（六）项</w:t>
            </w:r>
          </w:p>
        </w:tc>
      </w:tr>
      <w:tr w14:paraId="7E16A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796642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668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CE62F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 w14:paraId="61032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F296A09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行政处罚</w:t>
            </w:r>
          </w:p>
        </w:tc>
        <w:tc>
          <w:tcPr>
            <w:tcW w:w="668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014F6C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126972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AA925D2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行政强制</w:t>
            </w:r>
          </w:p>
        </w:tc>
        <w:tc>
          <w:tcPr>
            <w:tcW w:w="668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3E48F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C015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08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2C392DE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第二十条第（八）项</w:t>
            </w:r>
          </w:p>
        </w:tc>
      </w:tr>
      <w:tr w14:paraId="73C37C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910C0D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6688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70903DC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本年收费金额（单位：万元）</w:t>
            </w:r>
          </w:p>
        </w:tc>
      </w:tr>
      <w:tr w14:paraId="0162E7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C1CFF10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行政事业性收费</w:t>
            </w:r>
          </w:p>
        </w:tc>
        <w:tc>
          <w:tcPr>
            <w:tcW w:w="6688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11C85886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78.26</w:t>
            </w:r>
          </w:p>
        </w:tc>
      </w:tr>
    </w:tbl>
    <w:p w14:paraId="4ACBBB40">
      <w:pPr>
        <w:bidi w:val="0"/>
        <w:ind w:firstLine="640" w:firstLineChars="200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三、收到和处理政府信息公开申请情况</w:t>
      </w:r>
    </w:p>
    <w:tbl>
      <w:tblPr>
        <w:tblStyle w:val="5"/>
        <w:tblW w:w="974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3"/>
        <w:gridCol w:w="3219"/>
        <w:gridCol w:w="688"/>
        <w:gridCol w:w="688"/>
        <w:gridCol w:w="688"/>
        <w:gridCol w:w="688"/>
        <w:gridCol w:w="688"/>
        <w:gridCol w:w="688"/>
        <w:gridCol w:w="688"/>
      </w:tblGrid>
      <w:tr w14:paraId="457E8C1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C6C0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897B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申请人情况</w:t>
            </w:r>
          </w:p>
        </w:tc>
      </w:tr>
      <w:tr w14:paraId="2DEAE8D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23A80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8652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</w:t>
            </w:r>
          </w:p>
          <w:p w14:paraId="48E73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然</w:t>
            </w:r>
          </w:p>
          <w:p w14:paraId="3726E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4B90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5A82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 w14:paraId="5B6074F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C77E1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2CC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9878F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商业</w:t>
            </w:r>
          </w:p>
          <w:p w14:paraId="75078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B18F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科研</w:t>
            </w:r>
          </w:p>
          <w:p w14:paraId="66240C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30F92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5A29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2980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10354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CBA60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6F41A69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F71AF1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3E04BB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D5532B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02F101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51E2A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31C72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D2226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</w:tr>
      <w:tr w14:paraId="4BCFB6F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22684FD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35419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15FF0C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0335CF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704C17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C24F0F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037D7A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445655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39643B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33D0AA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三、本年度办理结果</w:t>
            </w: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B7F38C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BB1FC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37DDD3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C687A1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193E4A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743743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F993F4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675368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</w:tr>
      <w:tr w14:paraId="6C36256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EDCACC4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163472B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（二）部分公开（区分处理的，只计这一情形，不计其他情形）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85D956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E3DD1F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2441C1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CFABF7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E0A94F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591EFF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30BCDC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71E2C3D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3169BDB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FA858B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（三）不予</w:t>
            </w:r>
          </w:p>
          <w:p w14:paraId="79EA625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公开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1CCC3C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44CF8D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6EEAD0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7E4A3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BD48D7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FA2DA0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D5E8A0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06EF8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0844B9A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2C071BD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D815FED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51F8ACB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C12F2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334048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DF66BB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4ACD4E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8172E9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675554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0BF4C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8FC126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83ECE3D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2A0F9B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E91D6AD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51E026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0BE3DF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1AB57A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FB80D7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FB0929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F9F63E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621FC1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C2D180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41DA0B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7AEBD1D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5D3041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231357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C13745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CD66DE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9BB0A5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C28314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850341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F5DB89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CD302D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F6270D2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6B67FF7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AABF07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1018F7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0E440F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E9D5BC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DAA85D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101136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CAEF00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3F5256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0B22EB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D19845D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0A93EE1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EA3BB6F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6133E6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034206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13FFF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852B72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EA5C28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F9C5A2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E8A97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A730FD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A7F5EEA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815D751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B45EB8A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14CE2D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8FE9FD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C02203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B2D303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4EED29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BC672C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DBB5D1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10BD2C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FFEAE44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E9D1DA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21CD9A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F4EE1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18A31B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234F89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0DE300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2A71F8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2BE5D1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109D73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07DD3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F6D2A6F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CE3D2C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（四）无法</w:t>
            </w:r>
          </w:p>
          <w:p w14:paraId="7AA0004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提供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2E4C92C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F07155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882F0E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83E47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AF465D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EE20A6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21A35E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FB8DFE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320A00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1B9437F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7709BC6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157FF50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CA3BD5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8AF591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F83F5A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4C6D55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0F93D3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2022C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85F5AA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4A5F44C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1772E12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3B67A13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20883F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D092A8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801C6B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032A0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BF0D31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9C9726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9B0E1E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651CF5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9C192B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7BA9824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FD51F6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（五）不予</w:t>
            </w:r>
          </w:p>
          <w:p w14:paraId="2692DDE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833DCA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A83B65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ACF9F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2D5B19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30B4D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FF6AEA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2B8AD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73479A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E7BD6C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8C079CD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0A6FBAB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A8A7B80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733058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F850D8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D352C6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BA0DB0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353211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31283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AAD10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0ACBE1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89444C6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99F0AB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6DEB481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C05DD5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B76111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C4445E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39B6DB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2ABFB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1E8D5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DEE555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B04BC2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8B3A43F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598AFA1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1CC3EB0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D568FD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1947F6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496A6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D9D4BC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EB1794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4A5559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121F7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036D43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5566A6B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DB1C439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16F456">
            <w:pPr>
              <w:widowControl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29FB7A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08D893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59025B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D8ACDC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501A57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8CFDAD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978BF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CDA970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22525E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33E49D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（六）其他</w:t>
            </w:r>
          </w:p>
          <w:p w14:paraId="43CEF91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3862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E6C151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B59015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B819FD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1EDCCA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BAE803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D4866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F34C4D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1AC799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CE9723B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5766BA9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7669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D794A4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056752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A5909F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083A5B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39C7F1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1D7EED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079776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CF5B67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ABB7019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FD39476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C5D922E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D2632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583AF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25161D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79CC67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13BCD8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EDDA6F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E97022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1B54D5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2C754B7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934DB5E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758129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3B196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0766D7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464B02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BF103E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B8E324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798DE3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</w:tr>
      <w:tr w14:paraId="14CB476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EA5FB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4FBAF4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4269F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808419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AD33E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E73047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56B3CD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7D5CA00"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61D35F06">
      <w:pPr>
        <w:bidi w:val="0"/>
        <w:ind w:firstLine="640" w:firstLineChars="200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四、政府信息公开行政复议、行政诉讼情况</w:t>
      </w:r>
    </w:p>
    <w:tbl>
      <w:tblPr>
        <w:tblStyle w:val="5"/>
        <w:tblW w:w="917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0"/>
        <w:gridCol w:w="610"/>
        <w:gridCol w:w="610"/>
        <w:gridCol w:w="610"/>
        <w:gridCol w:w="617"/>
        <w:gridCol w:w="610"/>
        <w:gridCol w:w="610"/>
        <w:gridCol w:w="611"/>
        <w:gridCol w:w="611"/>
        <w:gridCol w:w="617"/>
        <w:gridCol w:w="611"/>
        <w:gridCol w:w="611"/>
        <w:gridCol w:w="611"/>
        <w:gridCol w:w="611"/>
        <w:gridCol w:w="619"/>
      </w:tblGrid>
      <w:tr w14:paraId="6AA6FE8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05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65CF9A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行政复议</w:t>
            </w:r>
          </w:p>
        </w:tc>
        <w:tc>
          <w:tcPr>
            <w:tcW w:w="61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02C96F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行政诉讼</w:t>
            </w:r>
          </w:p>
        </w:tc>
      </w:tr>
      <w:tr w14:paraId="5283560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2F6257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1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4D057B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1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0C6D21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1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A1CB0A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1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093EAD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305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BF45BC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未经复议直接起诉</w:t>
            </w:r>
          </w:p>
        </w:tc>
        <w:tc>
          <w:tcPr>
            <w:tcW w:w="306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9ECDDA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复议后起诉</w:t>
            </w:r>
          </w:p>
        </w:tc>
      </w:tr>
      <w:tr w14:paraId="7FFE89C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1" w:hRule="atLeast"/>
          <w:jc w:val="center"/>
        </w:trPr>
        <w:tc>
          <w:tcPr>
            <w:tcW w:w="61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9A65E16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5988FC2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DA50DC8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6D8D85A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F53C740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F3B262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6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D1DC18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AD3B59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D51B0C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D680FF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6ABF1E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C93423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0BAF74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9F1228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3B5BAF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 w14:paraId="7E3D848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1BE9B7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72F75A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B15EEB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055007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324CF7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4F0D4C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2D4307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46F901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0A3304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F97058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7EED5A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279F5C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242553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E807FD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76F72D9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4FFD0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五、存在的主要问题及改进情况</w:t>
      </w:r>
    </w:p>
    <w:p w14:paraId="4BE7F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针对上年度存在的群众多元化信息需求仍待满足、信息公开形式创新仍有不足的问题，一是加大群众关心关注的会计管理与会计考试、金融服务实体经济、惠民惠农补贴政策、防范非法集资宣传等信息公开力度。二是创新运用短视频等新媒体技术赋能防范非法集资宣传，在全国防范非法金融活动短视频征集大赛中荣获“优秀作品奖”，推动金融消费者保护宣传工作更加深入人心。</w:t>
      </w:r>
    </w:p>
    <w:p w14:paraId="2E157854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仿宋_GB2312" w:hAnsi="Times New Roman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年，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我局政务公开工作还存在重点领域信息公开时效性不足、政策信息宣传覆盖面有待加强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问题。下一步，一是进一步压实信息公开工作责任，强化沟通协调与业务对接，明确重点领域信息公开的标准规范和时限要求，健全信息采集、审核、发布全流程管理机制，确保准确、全面、及时向社会公开。二是加大财政、国资、金融领域政策宣传力度，持续拓展政策公开渠道，依托银企对接会、资本市场业务培训等深入园区、走进企业开展政策宣讲，切实提升企业和群众对财政金融政策的知晓度、理解度和认同感。</w:t>
      </w:r>
    </w:p>
    <w:p w14:paraId="2C1A3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六、其他需要报告的事项</w:t>
      </w:r>
    </w:p>
    <w:p w14:paraId="67A27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按照《国务院办公厅关于印发〈政府信息公开信息处理费管理办法〉的通知》（国办函〔2020〕109号）规定的按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件、按量收费标准，本年度没有产生信息公开处理费。</w:t>
      </w:r>
    </w:p>
    <w:p w14:paraId="41DDE326"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597A5AAE">
      <w:pPr>
        <w:widowControl/>
        <w:shd w:val="clear" w:color="auto" w:fill="FFFFFF"/>
        <w:spacing w:before="0" w:beforeAutospacing="0" w:after="0" w:afterAutospacing="0"/>
        <w:ind w:firstLine="42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2098" w:right="1587" w:bottom="1701" w:left="1588" w:header="851" w:footer="1247" w:gutter="0"/>
      <w:pgNumType w:fmt="decimal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D60961">
    <w:pPr>
      <w:widowControl w:val="0"/>
      <w:tabs>
        <w:tab w:val="center" w:pos="4153"/>
        <w:tab w:val="right" w:pos="8306"/>
      </w:tabs>
      <w:snapToGrid w:val="0"/>
      <w:jc w:val="right"/>
      <w:rPr>
        <w:rFonts w:ascii="仿宋_GB2312" w:hAnsi="Times New Roman" w:eastAsia="仿宋_GB2312" w:cs="Times New Roman"/>
        <w:sz w:val="32"/>
        <w:szCs w:val="32"/>
      </w:rPr>
    </w:pPr>
    <w:r>
      <w:rPr>
        <w:rFonts w:ascii="仿宋_GB2312" w:hAnsi="Times New Roman" w:eastAsia="仿宋_GB2312" w:cs="Times New Roman"/>
        <w:kern w:val="2"/>
        <w:sz w:val="2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752ECD1B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righ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6pebnPAAAA&#10;BQEAAA8AAAAAAAAAAQAgAAAAIgAAAGRycy9kb3ducmV2LnhtbFBLAQIUABQAAAAIAIdO4kCeTlmS&#10;7QEAANUDAAAOAAAAAAAAAAEAIAAAAB4BAABkcnMvZTJvRG9jLnhtbFBLBQYAAAAABgAGAFkBAAB9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52ECD1B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righ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93C618">
    <w:pPr>
      <w:widowControl w:val="0"/>
      <w:tabs>
        <w:tab w:val="center" w:pos="4153"/>
        <w:tab w:val="right" w:pos="8306"/>
      </w:tabs>
      <w:snapToGrid w:val="0"/>
      <w:ind w:right="360" w:firstLine="360"/>
      <w:jc w:val="left"/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</w:pPr>
    <w:r>
      <w:rPr>
        <w:rFonts w:ascii="仿宋_GB2312" w:hAnsi="Times New Roman" w:eastAsia="仿宋_GB2312" w:cs="Times New Roman"/>
        <w:kern w:val="2"/>
        <w:sz w:val="2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1FDAF1C4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仿宋_GB2312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6pebnPAAAA&#10;BQEAAA8AAAAAAAAAAQAgAAAAIgAAAGRycy9kb3ducmV2LnhtbFBLAQIUABQAAAAIAIdO4kART/Bo&#10;7QEAANUDAAAOAAAAAAAAAAEAIAAAAB4BAABkcnMvZTJvRG9jLnhtbFBLBQYAAAAABgAGAFkBAAB9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FDAF1C4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仿宋_GB2312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-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  <w:p w14:paraId="4962F679">
    <w:pPr>
      <w:rPr>
        <w:rFonts w:ascii="仿宋_GB2312" w:hAnsi="Times New Roman" w:eastAsia="仿宋_GB2312" w:cs="Times New Roman"/>
        <w:sz w:val="32"/>
        <w:szCs w:val="3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DF60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B97371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B97371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D5A1A"/>
    <w:rsid w:val="11C77271"/>
    <w:rsid w:val="1B28339F"/>
    <w:rsid w:val="1B79F3E5"/>
    <w:rsid w:val="24E10726"/>
    <w:rsid w:val="2FD9E1F9"/>
    <w:rsid w:val="33FE2AA9"/>
    <w:rsid w:val="36F95D85"/>
    <w:rsid w:val="37DF5A96"/>
    <w:rsid w:val="3BF515B8"/>
    <w:rsid w:val="3F5F3B41"/>
    <w:rsid w:val="3FBB4A66"/>
    <w:rsid w:val="3FC1B6E5"/>
    <w:rsid w:val="3FDBA5BF"/>
    <w:rsid w:val="3FE7B041"/>
    <w:rsid w:val="3FFE2FAB"/>
    <w:rsid w:val="484C7D5F"/>
    <w:rsid w:val="4F57ED79"/>
    <w:rsid w:val="4FDA7E0C"/>
    <w:rsid w:val="50D44CBE"/>
    <w:rsid w:val="52EA3518"/>
    <w:rsid w:val="537D7A9D"/>
    <w:rsid w:val="57F7B671"/>
    <w:rsid w:val="5A862E7C"/>
    <w:rsid w:val="5B4E41E3"/>
    <w:rsid w:val="5FB4BB57"/>
    <w:rsid w:val="611F485D"/>
    <w:rsid w:val="61744FEB"/>
    <w:rsid w:val="678E9F1F"/>
    <w:rsid w:val="67E92E16"/>
    <w:rsid w:val="6AE60D65"/>
    <w:rsid w:val="6CEA1A52"/>
    <w:rsid w:val="74F57CB8"/>
    <w:rsid w:val="75146A3C"/>
    <w:rsid w:val="75A981E2"/>
    <w:rsid w:val="75FA3F53"/>
    <w:rsid w:val="766FF90C"/>
    <w:rsid w:val="773B4B48"/>
    <w:rsid w:val="77B669BE"/>
    <w:rsid w:val="77BF1805"/>
    <w:rsid w:val="77FE717E"/>
    <w:rsid w:val="79DF3A86"/>
    <w:rsid w:val="7A773670"/>
    <w:rsid w:val="7B7A3785"/>
    <w:rsid w:val="7BEF7D8C"/>
    <w:rsid w:val="7BFF3DFE"/>
    <w:rsid w:val="7DEBF8EA"/>
    <w:rsid w:val="7DEF2F49"/>
    <w:rsid w:val="7DFF6273"/>
    <w:rsid w:val="7EBBADA2"/>
    <w:rsid w:val="7EF67099"/>
    <w:rsid w:val="7EFD9BA0"/>
    <w:rsid w:val="7F9FE035"/>
    <w:rsid w:val="7FEFA20F"/>
    <w:rsid w:val="7FF6C8D1"/>
    <w:rsid w:val="7FFD1853"/>
    <w:rsid w:val="9CAB86A7"/>
    <w:rsid w:val="9F5FCFA8"/>
    <w:rsid w:val="9F9F7F16"/>
    <w:rsid w:val="A45B967E"/>
    <w:rsid w:val="A7E1252E"/>
    <w:rsid w:val="ABDAE8B6"/>
    <w:rsid w:val="B5F71B81"/>
    <w:rsid w:val="BDDFE02A"/>
    <w:rsid w:val="BF97C01B"/>
    <w:rsid w:val="BFAFC07D"/>
    <w:rsid w:val="C3F9420B"/>
    <w:rsid w:val="C7F513A9"/>
    <w:rsid w:val="CAFB970A"/>
    <w:rsid w:val="D2FF26DA"/>
    <w:rsid w:val="D7FF7503"/>
    <w:rsid w:val="D9AF6D1C"/>
    <w:rsid w:val="DFFCA917"/>
    <w:rsid w:val="DFFD7AE1"/>
    <w:rsid w:val="E16F2752"/>
    <w:rsid w:val="E76EB25B"/>
    <w:rsid w:val="EC6F5ECB"/>
    <w:rsid w:val="ECD2C1FE"/>
    <w:rsid w:val="ED97B73D"/>
    <w:rsid w:val="EDFDAC2B"/>
    <w:rsid w:val="EF8F694A"/>
    <w:rsid w:val="EFFC2E3B"/>
    <w:rsid w:val="F5FE833F"/>
    <w:rsid w:val="F7F769AB"/>
    <w:rsid w:val="FBB725CA"/>
    <w:rsid w:val="FFA24CA4"/>
    <w:rsid w:val="FFBA9D43"/>
    <w:rsid w:val="FFDFFCB2"/>
    <w:rsid w:val="FFF4FD8B"/>
    <w:rsid w:val="FFFF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32"/>
    <customShpInfo spid="_x0000_s1030"/>
    <customShpInfo spid="_x0000_s1031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2589</Words>
  <Characters>2668</Characters>
  <Lines>0</Lines>
  <Paragraphs>0</Paragraphs>
  <TotalTime>1</TotalTime>
  <ScaleCrop>false</ScaleCrop>
  <LinksUpToDate>false</LinksUpToDate>
  <CharactersWithSpaces>2668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无瑕</cp:lastModifiedBy>
  <cp:lastPrinted>2026-01-23T03:01:08Z</cp:lastPrinted>
  <dcterms:modified xsi:type="dcterms:W3CDTF">2026-01-23T03:03:17Z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90195B2CCD404D769FFE4564E7BD9A64_12</vt:lpwstr>
  </property>
  <property fmtid="{D5CDD505-2E9C-101B-9397-08002B2CF9AE}" pid="4" name="KSOTemplateDocerSaveRecord">
    <vt:lpwstr>eyJoZGlkIjoiNWRjOWM0MDY4M2Q3NzExYTFiODE1YjdhMjBjZWMxOGEiLCJ1c2VySWQiOiI1NjM5NzgwMDgifQ==</vt:lpwstr>
  </property>
</Properties>
</file>