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6D3AEA">
      <w:pPr>
        <w:jc w:val="both"/>
        <w:rPr>
          <w:rFonts w:ascii="黑体" w:eastAsia="黑体"/>
          <w:b/>
          <w:sz w:val="72"/>
          <w:szCs w:val="84"/>
        </w:rPr>
      </w:pPr>
    </w:p>
    <w:p w14:paraId="75EF4962">
      <w:pPr>
        <w:ind w:firstLine="1440"/>
        <w:jc w:val="center"/>
        <w:rPr>
          <w:rFonts w:ascii="黑体" w:eastAsia="黑体"/>
          <w:b/>
          <w:sz w:val="72"/>
          <w:szCs w:val="84"/>
        </w:rPr>
      </w:pPr>
    </w:p>
    <w:p w14:paraId="357FBAF8">
      <w:pPr>
        <w:ind w:firstLine="1440"/>
        <w:jc w:val="center"/>
        <w:rPr>
          <w:rFonts w:ascii="黑体" w:eastAsia="黑体"/>
          <w:b/>
          <w:sz w:val="72"/>
          <w:szCs w:val="84"/>
        </w:rPr>
      </w:pPr>
    </w:p>
    <w:p w14:paraId="36001FB4">
      <w:pPr>
        <w:ind w:firstLine="1440"/>
        <w:jc w:val="center"/>
        <w:rPr>
          <w:rFonts w:ascii="黑体" w:eastAsia="黑体"/>
          <w:b/>
          <w:sz w:val="72"/>
          <w:szCs w:val="84"/>
        </w:rPr>
      </w:pPr>
    </w:p>
    <w:p w14:paraId="357F2C91">
      <w:pPr>
        <w:jc w:val="center"/>
        <w:rPr>
          <w:rFonts w:ascii="方正小标宋简体" w:hAnsi="方正小标宋简体" w:eastAsia="方正小标宋简体" w:cs="方正小标宋简体"/>
          <w:b/>
          <w:sz w:val="68"/>
          <w:szCs w:val="68"/>
        </w:rPr>
      </w:pPr>
      <w:r>
        <w:rPr>
          <w:rFonts w:hint="eastAsia" w:ascii="方正小标宋简体" w:hAnsi="方正小标宋简体" w:eastAsia="方正小标宋简体" w:cs="方正小标宋简体"/>
          <w:b/>
          <w:sz w:val="68"/>
          <w:szCs w:val="68"/>
        </w:rPr>
        <w:t>六安城市建设投资有限公司</w:t>
      </w:r>
    </w:p>
    <w:p w14:paraId="7ACA688D">
      <w:pPr>
        <w:jc w:val="center"/>
        <w:rPr>
          <w:rFonts w:ascii="方正小标宋简体" w:hAnsi="方正小标宋简体" w:eastAsia="方正小标宋简体" w:cs="方正小标宋简体"/>
          <w:b/>
          <w:sz w:val="68"/>
          <w:szCs w:val="68"/>
        </w:rPr>
      </w:pPr>
      <w:r>
        <w:rPr>
          <w:rFonts w:hint="eastAsia" w:ascii="方正小标宋简体" w:hAnsi="方正小标宋简体" w:eastAsia="方正小标宋简体" w:cs="方正小标宋简体"/>
          <w:b/>
          <w:sz w:val="68"/>
          <w:szCs w:val="68"/>
        </w:rPr>
        <w:t>202</w:t>
      </w:r>
      <w:r>
        <w:rPr>
          <w:rFonts w:hint="eastAsia" w:ascii="方正小标宋简体" w:hAnsi="方正小标宋简体" w:eastAsia="方正小标宋简体" w:cs="方正小标宋简体"/>
          <w:b/>
          <w:sz w:val="68"/>
          <w:szCs w:val="68"/>
          <w:lang w:val="en-US" w:eastAsia="zh-CN"/>
        </w:rPr>
        <w:t>4</w:t>
      </w:r>
      <w:r>
        <w:rPr>
          <w:rFonts w:hint="eastAsia" w:ascii="方正小标宋简体" w:hAnsi="方正小标宋简体" w:eastAsia="方正小标宋简体" w:cs="方正小标宋简体"/>
          <w:b/>
          <w:sz w:val="68"/>
          <w:szCs w:val="68"/>
        </w:rPr>
        <w:t>年度社会责任报告</w:t>
      </w:r>
    </w:p>
    <w:p w14:paraId="08196A76">
      <w:pPr>
        <w:pStyle w:val="5"/>
        <w:ind w:firstLine="1360"/>
        <w:rPr>
          <w:rFonts w:ascii="方正小标宋简体" w:hAnsi="方正小标宋简体" w:eastAsia="方正小标宋简体" w:cs="方正小标宋简体"/>
          <w:b/>
          <w:sz w:val="68"/>
          <w:szCs w:val="68"/>
        </w:rPr>
      </w:pPr>
    </w:p>
    <w:p w14:paraId="4F817355">
      <w:pPr>
        <w:pStyle w:val="6"/>
        <w:ind w:firstLine="1360"/>
        <w:rPr>
          <w:rFonts w:ascii="方正小标宋简体" w:hAnsi="方正小标宋简体" w:eastAsia="方正小标宋简体" w:cs="方正小标宋简体"/>
          <w:b/>
          <w:sz w:val="68"/>
          <w:szCs w:val="68"/>
          <w:lang w:eastAsia="zh-CN"/>
        </w:rPr>
      </w:pPr>
    </w:p>
    <w:p w14:paraId="4EA7AB8F">
      <w:pPr>
        <w:pStyle w:val="6"/>
        <w:ind w:firstLine="1360"/>
        <w:rPr>
          <w:rFonts w:ascii="方正小标宋简体" w:hAnsi="方正小标宋简体" w:eastAsia="方正小标宋简体" w:cs="方正小标宋简体"/>
          <w:b/>
          <w:sz w:val="68"/>
          <w:szCs w:val="68"/>
          <w:lang w:eastAsia="zh-CN"/>
        </w:rPr>
      </w:pPr>
    </w:p>
    <w:p w14:paraId="5F21BBCB">
      <w:pPr>
        <w:pStyle w:val="6"/>
        <w:ind w:firstLine="1360"/>
        <w:rPr>
          <w:rFonts w:ascii="方正小标宋简体" w:hAnsi="方正小标宋简体" w:eastAsia="方正小标宋简体" w:cs="方正小标宋简体"/>
          <w:b/>
          <w:sz w:val="68"/>
          <w:szCs w:val="68"/>
          <w:lang w:eastAsia="zh-CN"/>
        </w:rPr>
      </w:pPr>
    </w:p>
    <w:p w14:paraId="66FE1A9D">
      <w:pPr>
        <w:ind w:firstLine="880"/>
        <w:jc w:val="center"/>
        <w:rPr>
          <w:rFonts w:ascii="黑体" w:eastAsia="黑体"/>
          <w:b/>
          <w:sz w:val="44"/>
          <w:szCs w:val="44"/>
        </w:rPr>
      </w:pPr>
    </w:p>
    <w:p w14:paraId="0E9C66A1">
      <w:pPr>
        <w:spacing w:line="560" w:lineRule="exact"/>
        <w:rPr>
          <w:rFonts w:ascii="Times New Roman" w:hAnsi="Times New Roman" w:eastAsia="黑体"/>
          <w:sz w:val="32"/>
          <w:szCs w:val="32"/>
        </w:rPr>
      </w:pPr>
      <w:r>
        <w:rPr>
          <w:rFonts w:hint="eastAsia" w:ascii="黑体" w:eastAsia="黑体"/>
          <w:b/>
          <w:sz w:val="84"/>
          <w:szCs w:val="84"/>
        </w:rPr>
        <w:br w:type="page"/>
      </w:r>
      <w:r>
        <w:rPr>
          <w:rFonts w:ascii="Times New Roman" w:hAnsi="Times New Roman" w:eastAsia="黑体"/>
          <w:sz w:val="32"/>
          <w:szCs w:val="32"/>
        </w:rPr>
        <w:t>[ 报告时间 ]</w:t>
      </w:r>
    </w:p>
    <w:p w14:paraId="1706639F">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202</w:t>
      </w:r>
      <w:r>
        <w:rPr>
          <w:rFonts w:hint="eastAsia" w:ascii="Times New Roman" w:hAnsi="Times New Roman" w:eastAsia="仿宋_GB2312"/>
          <w:sz w:val="32"/>
          <w:szCs w:val="32"/>
          <w:lang w:val="en-US" w:eastAsia="zh-CN"/>
        </w:rPr>
        <w:t>4</w:t>
      </w:r>
      <w:r>
        <w:rPr>
          <w:rFonts w:ascii="Times New Roman" w:hAnsi="Times New Roman" w:eastAsia="仿宋_GB2312"/>
          <w:sz w:val="32"/>
          <w:szCs w:val="32"/>
        </w:rPr>
        <w:t>年1月1日至202</w:t>
      </w:r>
      <w:r>
        <w:rPr>
          <w:rFonts w:hint="eastAsia" w:ascii="Times New Roman" w:hAnsi="Times New Roman" w:eastAsia="仿宋_GB2312"/>
          <w:sz w:val="32"/>
          <w:szCs w:val="32"/>
          <w:lang w:val="en-US" w:eastAsia="zh-CN"/>
        </w:rPr>
        <w:t>4</w:t>
      </w:r>
      <w:r>
        <w:rPr>
          <w:rFonts w:ascii="Times New Roman" w:hAnsi="Times New Roman" w:eastAsia="仿宋_GB2312"/>
          <w:sz w:val="32"/>
          <w:szCs w:val="32"/>
        </w:rPr>
        <w:t>年12月31日。</w:t>
      </w:r>
    </w:p>
    <w:p w14:paraId="5A0B749E">
      <w:pPr>
        <w:spacing w:line="560" w:lineRule="exact"/>
        <w:rPr>
          <w:rFonts w:ascii="Times New Roman" w:hAnsi="Times New Roman" w:eastAsia="仿宋_GB2312"/>
          <w:sz w:val="32"/>
          <w:szCs w:val="32"/>
        </w:rPr>
      </w:pPr>
      <w:r>
        <w:rPr>
          <w:rFonts w:ascii="Times New Roman" w:hAnsi="Times New Roman" w:eastAsia="黑体"/>
          <w:sz w:val="32"/>
          <w:szCs w:val="32"/>
        </w:rPr>
        <w:t>[ 发布周期 ]</w:t>
      </w:r>
    </w:p>
    <w:p w14:paraId="331F1A7D">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六安城市建设投资有限公司</w:t>
      </w:r>
      <w:r>
        <w:rPr>
          <w:rFonts w:ascii="Times New Roman" w:hAnsi="Times New Roman" w:eastAsia="仿宋_GB2312"/>
          <w:sz w:val="32"/>
          <w:szCs w:val="32"/>
        </w:rPr>
        <w:t>社会责任报告为年度报告。</w:t>
      </w:r>
    </w:p>
    <w:p w14:paraId="796752A7">
      <w:pPr>
        <w:spacing w:line="560" w:lineRule="exact"/>
        <w:rPr>
          <w:rFonts w:ascii="Times New Roman" w:hAnsi="Times New Roman" w:eastAsia="黑体"/>
          <w:sz w:val="32"/>
          <w:szCs w:val="32"/>
        </w:rPr>
      </w:pPr>
      <w:r>
        <w:rPr>
          <w:rFonts w:ascii="Times New Roman" w:hAnsi="Times New Roman" w:eastAsia="黑体"/>
          <w:sz w:val="32"/>
          <w:szCs w:val="32"/>
        </w:rPr>
        <w:t>[ 报告范围 ]</w:t>
      </w:r>
    </w:p>
    <w:p w14:paraId="781A76C7">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六安城市建设投资有限公司</w:t>
      </w:r>
      <w:r>
        <w:rPr>
          <w:rFonts w:ascii="Times New Roman" w:hAnsi="Times New Roman" w:eastAsia="仿宋_GB2312"/>
          <w:sz w:val="32"/>
          <w:szCs w:val="32"/>
        </w:rPr>
        <w:t>、全资子公司和控股投资企业。为便于表达，“</w:t>
      </w:r>
      <w:r>
        <w:rPr>
          <w:rFonts w:hint="eastAsia" w:ascii="Times New Roman" w:hAnsi="Times New Roman" w:eastAsia="仿宋_GB2312"/>
          <w:sz w:val="32"/>
          <w:szCs w:val="32"/>
        </w:rPr>
        <w:t>六安城市建设投资有限公司”</w:t>
      </w:r>
      <w:r>
        <w:rPr>
          <w:rFonts w:ascii="Times New Roman" w:hAnsi="Times New Roman" w:eastAsia="仿宋_GB2312"/>
          <w:sz w:val="32"/>
          <w:szCs w:val="32"/>
        </w:rPr>
        <w:t>以“</w:t>
      </w:r>
      <w:r>
        <w:rPr>
          <w:rFonts w:hint="eastAsia" w:ascii="Times New Roman" w:hAnsi="Times New Roman" w:eastAsia="仿宋_GB2312"/>
          <w:sz w:val="32"/>
          <w:szCs w:val="32"/>
        </w:rPr>
        <w:t>市城投公司</w:t>
      </w:r>
      <w:r>
        <w:rPr>
          <w:rFonts w:hint="eastAsia" w:ascii="Times New Roman" w:hAnsi="Times New Roman" w:eastAsia="仿宋_GB2312"/>
          <w:sz w:val="32"/>
          <w:szCs w:val="32"/>
          <w:lang w:eastAsia="zh-CN"/>
        </w:rPr>
        <w:t>”“</w:t>
      </w:r>
      <w:r>
        <w:rPr>
          <w:rFonts w:ascii="Times New Roman" w:hAnsi="Times New Roman" w:eastAsia="仿宋_GB2312"/>
          <w:sz w:val="32"/>
          <w:szCs w:val="32"/>
        </w:rPr>
        <w:t>公司</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城投</w:t>
      </w:r>
      <w:r>
        <w:rPr>
          <w:rFonts w:ascii="Times New Roman" w:hAnsi="Times New Roman" w:eastAsia="仿宋_GB2312"/>
          <w:sz w:val="32"/>
          <w:szCs w:val="32"/>
        </w:rPr>
        <w:t>”或“我们”表述。</w:t>
      </w:r>
    </w:p>
    <w:p w14:paraId="16393CC2">
      <w:pPr>
        <w:spacing w:line="560" w:lineRule="exact"/>
        <w:rPr>
          <w:rFonts w:ascii="Times New Roman" w:hAnsi="Times New Roman" w:eastAsia="黑体"/>
          <w:sz w:val="32"/>
          <w:szCs w:val="32"/>
        </w:rPr>
      </w:pPr>
      <w:r>
        <w:rPr>
          <w:rFonts w:ascii="Times New Roman" w:hAnsi="Times New Roman" w:eastAsia="黑体"/>
          <w:sz w:val="32"/>
          <w:szCs w:val="32"/>
        </w:rPr>
        <w:t>[ 数据来源 ]</w:t>
      </w:r>
    </w:p>
    <w:p w14:paraId="331C44E8">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报告中内容、数据和案例</w:t>
      </w:r>
      <w:r>
        <w:rPr>
          <w:rFonts w:hint="eastAsia" w:ascii="Times New Roman" w:hAnsi="Times New Roman" w:eastAsia="仿宋_GB2312"/>
          <w:sz w:val="32"/>
          <w:szCs w:val="32"/>
          <w:lang w:eastAsia="zh-CN"/>
        </w:rPr>
        <w:t>来自</w:t>
      </w:r>
      <w:r>
        <w:rPr>
          <w:rFonts w:hint="eastAsia" w:ascii="Times New Roman" w:hAnsi="Times New Roman" w:eastAsia="仿宋_GB2312"/>
          <w:sz w:val="32"/>
          <w:szCs w:val="32"/>
        </w:rPr>
        <w:t>城投公司</w:t>
      </w:r>
      <w:r>
        <w:rPr>
          <w:rFonts w:ascii="Times New Roman" w:hAnsi="Times New Roman" w:eastAsia="仿宋_GB2312"/>
          <w:sz w:val="32"/>
          <w:szCs w:val="32"/>
        </w:rPr>
        <w:t>和外部文件。</w:t>
      </w:r>
    </w:p>
    <w:p w14:paraId="5A92864E">
      <w:pPr>
        <w:spacing w:line="560" w:lineRule="exact"/>
        <w:rPr>
          <w:rFonts w:ascii="Times New Roman" w:hAnsi="Times New Roman" w:eastAsia="黑体"/>
          <w:sz w:val="32"/>
          <w:szCs w:val="32"/>
        </w:rPr>
      </w:pPr>
      <w:r>
        <w:rPr>
          <w:rFonts w:ascii="Times New Roman" w:hAnsi="Times New Roman" w:eastAsia="黑体"/>
          <w:sz w:val="32"/>
          <w:szCs w:val="32"/>
        </w:rPr>
        <w:t>[ 参考标准 ]</w:t>
      </w:r>
    </w:p>
    <w:p w14:paraId="15ADC814">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国家标准化管理委员会《社会责任报告编写指南》</w:t>
      </w:r>
      <w:r>
        <w:rPr>
          <w:rFonts w:hint="eastAsia" w:ascii="Times New Roman" w:hAnsi="Times New Roman" w:eastAsia="仿宋_GB2312"/>
          <w:sz w:val="32"/>
          <w:szCs w:val="32"/>
          <w:lang w:eastAsia="zh-CN"/>
        </w:rPr>
        <w:t>（</w:t>
      </w:r>
      <w:r>
        <w:rPr>
          <w:rFonts w:ascii="Times New Roman" w:hAnsi="Times New Roman" w:eastAsia="仿宋_GB2312"/>
          <w:sz w:val="32"/>
          <w:szCs w:val="32"/>
        </w:rPr>
        <w:t>GB/36001</w:t>
      </w:r>
      <w:r>
        <w:rPr>
          <w:rFonts w:hint="eastAsia" w:ascii="Times New Roman" w:hAnsi="Times New Roman" w:eastAsia="仿宋_GB2312"/>
          <w:sz w:val="32"/>
          <w:szCs w:val="32"/>
          <w:lang w:eastAsia="zh-CN"/>
        </w:rPr>
        <w:t>）</w:t>
      </w:r>
      <w:r>
        <w:rPr>
          <w:rFonts w:ascii="Times New Roman" w:hAnsi="Times New Roman" w:eastAsia="仿宋_GB2312"/>
          <w:sz w:val="32"/>
          <w:szCs w:val="32"/>
        </w:rPr>
        <w:t xml:space="preserve">全球报告倡议组织 </w:t>
      </w:r>
      <w:r>
        <w:rPr>
          <w:rFonts w:hint="eastAsia" w:ascii="Times New Roman" w:hAnsi="Times New Roman" w:eastAsia="仿宋_GB2312"/>
          <w:sz w:val="32"/>
          <w:szCs w:val="32"/>
          <w:lang w:eastAsia="zh-CN"/>
        </w:rPr>
        <w:t>（</w:t>
      </w:r>
      <w:r>
        <w:rPr>
          <w:rFonts w:ascii="Times New Roman" w:hAnsi="Times New Roman" w:eastAsia="仿宋_GB2312"/>
          <w:sz w:val="32"/>
          <w:szCs w:val="32"/>
        </w:rPr>
        <w:t>GRI</w:t>
      </w:r>
      <w:r>
        <w:rPr>
          <w:rFonts w:hint="eastAsia" w:ascii="Times New Roman" w:hAnsi="Times New Roman" w:eastAsia="仿宋_GB2312"/>
          <w:sz w:val="32"/>
          <w:szCs w:val="32"/>
          <w:lang w:eastAsia="zh-CN"/>
        </w:rPr>
        <w:t>）</w:t>
      </w:r>
      <w:r>
        <w:rPr>
          <w:rFonts w:ascii="Times New Roman" w:hAnsi="Times New Roman" w:eastAsia="仿宋_GB2312"/>
          <w:sz w:val="32"/>
          <w:szCs w:val="32"/>
        </w:rPr>
        <w:t xml:space="preserve">《可持续发展报告》中国社会科学院《中国企业社会责任报告指南基础框架 </w:t>
      </w:r>
      <w:r>
        <w:rPr>
          <w:rFonts w:hint="eastAsia" w:ascii="Times New Roman" w:hAnsi="Times New Roman" w:eastAsia="仿宋_GB2312"/>
          <w:sz w:val="32"/>
          <w:szCs w:val="32"/>
          <w:lang w:eastAsia="zh-CN"/>
        </w:rPr>
        <w:t>（</w:t>
      </w:r>
      <w:r>
        <w:rPr>
          <w:rFonts w:ascii="Times New Roman" w:hAnsi="Times New Roman" w:eastAsia="仿宋_GB2312"/>
          <w:sz w:val="32"/>
          <w:szCs w:val="32"/>
        </w:rPr>
        <w:t>CASSCSR4.0</w:t>
      </w:r>
      <w:r>
        <w:rPr>
          <w:rFonts w:hint="eastAsia" w:ascii="Times New Roman" w:hAnsi="Times New Roman" w:eastAsia="仿宋_GB2312"/>
          <w:sz w:val="32"/>
          <w:szCs w:val="32"/>
          <w:lang w:eastAsia="zh-CN"/>
        </w:rPr>
        <w:t>）</w:t>
      </w:r>
      <w:r>
        <w:rPr>
          <w:rFonts w:ascii="Times New Roman" w:hAnsi="Times New Roman" w:eastAsia="仿宋_GB2312"/>
          <w:sz w:val="32"/>
          <w:szCs w:val="32"/>
        </w:rPr>
        <w:t>》</w:t>
      </w:r>
    </w:p>
    <w:p w14:paraId="0FFD4536">
      <w:pPr>
        <w:spacing w:line="560" w:lineRule="exact"/>
        <w:rPr>
          <w:rFonts w:ascii="Times New Roman" w:hAnsi="Times New Roman" w:eastAsia="黑体"/>
          <w:sz w:val="32"/>
          <w:szCs w:val="32"/>
        </w:rPr>
      </w:pPr>
      <w:r>
        <w:rPr>
          <w:rFonts w:ascii="Times New Roman" w:hAnsi="Times New Roman" w:eastAsia="黑体"/>
          <w:sz w:val="32"/>
          <w:szCs w:val="32"/>
        </w:rPr>
        <w:t>[ 报告说明 ]</w:t>
      </w:r>
    </w:p>
    <w:p w14:paraId="0C4DF251">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结构上参考上述“报告参考标准”，结合实际对报告框架进行了优化。</w:t>
      </w:r>
    </w:p>
    <w:p w14:paraId="5C79F255">
      <w:pPr>
        <w:pStyle w:val="2"/>
      </w:pPr>
    </w:p>
    <w:p w14:paraId="541E2A30">
      <w:pPr>
        <w:pStyle w:val="2"/>
      </w:pPr>
    </w:p>
    <w:p w14:paraId="4DC75FE0">
      <w:pPr>
        <w:pStyle w:val="2"/>
      </w:pPr>
    </w:p>
    <w:p w14:paraId="0E48997F">
      <w:pPr>
        <w:pStyle w:val="2"/>
      </w:pPr>
    </w:p>
    <w:p w14:paraId="2C9459F7">
      <w:pPr>
        <w:pStyle w:val="2"/>
      </w:pPr>
    </w:p>
    <w:p w14:paraId="14115232">
      <w:pPr>
        <w:pStyle w:val="2"/>
      </w:pPr>
    </w:p>
    <w:p w14:paraId="0B52341F">
      <w:pPr>
        <w:pStyle w:val="2"/>
      </w:pPr>
    </w:p>
    <w:p w14:paraId="1620CAB8">
      <w:pPr>
        <w:adjustRightInd w:val="0"/>
        <w:snapToGrid w:val="0"/>
        <w:spacing w:before="156" w:beforeLines="50" w:after="156" w:afterLines="50" w:line="580" w:lineRule="exact"/>
        <w:ind w:firstLine="883"/>
        <w:jc w:val="center"/>
        <w:rPr>
          <w:rFonts w:ascii="黑体" w:eastAsia="黑体"/>
          <w:sz w:val="44"/>
          <w:szCs w:val="28"/>
        </w:rPr>
      </w:pPr>
    </w:p>
    <w:p w14:paraId="21545501">
      <w:pPr>
        <w:adjustRightInd w:val="0"/>
        <w:snapToGrid w:val="0"/>
        <w:spacing w:before="156" w:beforeLines="50" w:after="156" w:afterLines="50" w:line="580" w:lineRule="exact"/>
        <w:jc w:val="center"/>
        <w:rPr>
          <w:rFonts w:ascii="黑体" w:eastAsia="黑体"/>
          <w:sz w:val="28"/>
          <w:szCs w:val="28"/>
        </w:rPr>
      </w:pPr>
      <w:r>
        <w:rPr>
          <w:rFonts w:hint="eastAsia" w:ascii="黑体" w:eastAsia="黑体"/>
          <w:sz w:val="44"/>
          <w:szCs w:val="28"/>
        </w:rPr>
        <w:t>目  录</w:t>
      </w:r>
    </w:p>
    <w:p w14:paraId="72CA0701">
      <w:pPr>
        <w:adjustRightInd w:val="0"/>
        <w:snapToGrid w:val="0"/>
        <w:spacing w:line="420" w:lineRule="auto"/>
        <w:ind w:firstLine="240" w:firstLineChars="75"/>
        <w:jc w:val="distribute"/>
        <w:rPr>
          <w:rFonts w:ascii="黑体" w:hAnsi="黑体" w:eastAsia="黑体"/>
          <w:sz w:val="32"/>
          <w:szCs w:val="28"/>
        </w:rPr>
      </w:pPr>
    </w:p>
    <w:p w14:paraId="38457D91">
      <w:pPr>
        <w:adjustRightInd w:val="0"/>
        <w:snapToGrid w:val="0"/>
        <w:spacing w:line="420" w:lineRule="auto"/>
        <w:ind w:firstLine="240" w:firstLineChars="75"/>
        <w:jc w:val="distribute"/>
        <w:rPr>
          <w:rFonts w:ascii="黑体" w:hAnsi="黑体" w:eastAsia="黑体"/>
          <w:sz w:val="32"/>
          <w:szCs w:val="28"/>
        </w:rPr>
      </w:pPr>
      <w:r>
        <w:rPr>
          <w:rFonts w:hint="eastAsia" w:ascii="Times New Roman" w:hAnsi="Times New Roman" w:eastAsia="黑体"/>
          <w:sz w:val="32"/>
          <w:szCs w:val="28"/>
          <w:lang w:val="en-US" w:eastAsia="zh-CN"/>
        </w:rPr>
        <w:t>一、</w:t>
      </w:r>
      <w:r>
        <w:rPr>
          <w:rFonts w:hint="eastAsia" w:ascii="黑体" w:hAnsi="黑体" w:eastAsia="黑体"/>
          <w:sz w:val="32"/>
          <w:szCs w:val="28"/>
        </w:rPr>
        <w:t>企业基本情况</w:t>
      </w:r>
      <w:r>
        <w:rPr>
          <w:rFonts w:ascii="黑体" w:hAnsi="黑体" w:eastAsia="黑体"/>
          <w:sz w:val="32"/>
          <w:szCs w:val="28"/>
        </w:rPr>
        <w:t>…………………………………………………</w:t>
      </w:r>
      <w:r>
        <w:rPr>
          <w:rFonts w:ascii="Times New Roman" w:hAnsi="Times New Roman" w:eastAsia="黑体"/>
          <w:sz w:val="32"/>
          <w:szCs w:val="28"/>
        </w:rPr>
        <w:t>1</w:t>
      </w:r>
    </w:p>
    <w:p w14:paraId="3924C296">
      <w:pPr>
        <w:adjustRightInd w:val="0"/>
        <w:snapToGrid w:val="0"/>
        <w:spacing w:line="420" w:lineRule="auto"/>
        <w:ind w:firstLine="240" w:firstLineChars="75"/>
        <w:jc w:val="distribute"/>
        <w:rPr>
          <w:rFonts w:ascii="黑体" w:hAnsi="黑体" w:eastAsia="黑体"/>
          <w:sz w:val="32"/>
          <w:szCs w:val="28"/>
        </w:rPr>
      </w:pPr>
      <w:r>
        <w:rPr>
          <w:rFonts w:hint="eastAsia" w:ascii="Times New Roman" w:hAnsi="Times New Roman" w:eastAsia="黑体"/>
          <w:sz w:val="32"/>
          <w:szCs w:val="28"/>
          <w:lang w:val="en-US" w:eastAsia="zh-CN"/>
        </w:rPr>
        <w:t>二、</w:t>
      </w:r>
      <w:r>
        <w:rPr>
          <w:rFonts w:hint="eastAsia" w:ascii="Times New Roman" w:hAnsi="Times New Roman" w:eastAsia="黑体" w:cs="Times New Roman"/>
          <w:sz w:val="32"/>
          <w:szCs w:val="32"/>
          <w:lang w:val="en-US" w:eastAsia="zh-CN"/>
        </w:rPr>
        <w:t>强党建抓作风，提升党建引领能力</w:t>
      </w:r>
      <w:r>
        <w:rPr>
          <w:rFonts w:ascii="黑体" w:hAnsi="黑体" w:eastAsia="黑体"/>
          <w:sz w:val="32"/>
          <w:szCs w:val="28"/>
        </w:rPr>
        <w:t>…………………………</w:t>
      </w:r>
      <w:r>
        <w:rPr>
          <w:rFonts w:hint="eastAsia" w:ascii="Times New Roman" w:hAnsi="Times New Roman" w:eastAsia="黑体"/>
          <w:sz w:val="32"/>
          <w:szCs w:val="28"/>
        </w:rPr>
        <w:t>2</w:t>
      </w:r>
    </w:p>
    <w:p w14:paraId="157D4EBB">
      <w:pPr>
        <w:adjustRightInd w:val="0"/>
        <w:snapToGrid w:val="0"/>
        <w:spacing w:line="420" w:lineRule="auto"/>
        <w:ind w:firstLine="240" w:firstLineChars="75"/>
        <w:jc w:val="distribute"/>
        <w:rPr>
          <w:rFonts w:hint="eastAsia" w:ascii="Times New Roman" w:hAnsi="Times New Roman" w:eastAsia="黑体"/>
          <w:sz w:val="32"/>
          <w:szCs w:val="28"/>
          <w:lang w:eastAsia="zh-CN"/>
        </w:rPr>
      </w:pPr>
      <w:r>
        <w:rPr>
          <w:rFonts w:hint="eastAsia" w:ascii="Times New Roman" w:hAnsi="Times New Roman" w:eastAsia="黑体"/>
          <w:sz w:val="32"/>
          <w:szCs w:val="28"/>
          <w:lang w:val="en-US" w:eastAsia="zh-CN"/>
        </w:rPr>
        <w:t>三、</w:t>
      </w:r>
      <w:r>
        <w:rPr>
          <w:rFonts w:hint="eastAsia" w:ascii="黑体" w:hAnsi="黑体" w:eastAsia="黑体"/>
          <w:sz w:val="32"/>
          <w:szCs w:val="32"/>
          <w:lang w:val="en-US" w:eastAsia="zh-CN"/>
        </w:rPr>
        <w:t>履行职责使命</w:t>
      </w:r>
      <w:r>
        <w:rPr>
          <w:rFonts w:ascii="黑体" w:hAnsi="黑体" w:eastAsia="黑体"/>
          <w:sz w:val="32"/>
          <w:szCs w:val="32"/>
        </w:rPr>
        <w:t>，</w:t>
      </w:r>
      <w:r>
        <w:rPr>
          <w:rFonts w:hint="eastAsia" w:ascii="黑体" w:hAnsi="黑体" w:eastAsia="黑体"/>
          <w:sz w:val="32"/>
          <w:szCs w:val="32"/>
          <w:lang w:val="en-US" w:eastAsia="zh-CN"/>
        </w:rPr>
        <w:t>服务城市建设发展</w:t>
      </w:r>
      <w:r>
        <w:rPr>
          <w:rFonts w:ascii="黑体" w:hAnsi="黑体" w:eastAsia="黑体"/>
          <w:sz w:val="32"/>
          <w:szCs w:val="28"/>
        </w:rPr>
        <w:t>…………………………</w:t>
      </w:r>
      <w:r>
        <w:rPr>
          <w:rFonts w:hint="eastAsia" w:ascii="Times New Roman" w:hAnsi="Times New Roman" w:eastAsia="黑体"/>
          <w:sz w:val="32"/>
          <w:szCs w:val="28"/>
          <w:lang w:val="en-US" w:eastAsia="zh-CN"/>
        </w:rPr>
        <w:t>6</w:t>
      </w:r>
    </w:p>
    <w:p w14:paraId="47EF9C8B">
      <w:pPr>
        <w:adjustRightInd w:val="0"/>
        <w:snapToGrid w:val="0"/>
        <w:spacing w:line="420" w:lineRule="auto"/>
        <w:ind w:firstLine="240" w:firstLineChars="75"/>
        <w:jc w:val="distribute"/>
        <w:rPr>
          <w:rFonts w:hint="eastAsia" w:ascii="Times New Roman" w:hAnsi="Times New Roman" w:eastAsia="黑体"/>
          <w:sz w:val="32"/>
          <w:szCs w:val="28"/>
          <w:lang w:eastAsia="zh-CN"/>
        </w:rPr>
      </w:pPr>
      <w:r>
        <w:rPr>
          <w:rFonts w:hint="eastAsia" w:ascii="Times New Roman" w:hAnsi="Times New Roman" w:eastAsia="黑体"/>
          <w:sz w:val="32"/>
          <w:szCs w:val="28"/>
          <w:lang w:val="en-US" w:eastAsia="zh-CN"/>
        </w:rPr>
        <w:t>四、</w:t>
      </w:r>
      <w:r>
        <w:rPr>
          <w:rFonts w:hint="eastAsia" w:ascii="Times New Roman" w:hAnsi="Times New Roman" w:eastAsia="黑体" w:cs="Times New Roman"/>
          <w:sz w:val="32"/>
          <w:szCs w:val="32"/>
          <w:lang w:val="en-US" w:eastAsia="zh-CN"/>
        </w:rPr>
        <w:t>履行社会责任，发挥国企责任担当</w:t>
      </w:r>
      <w:r>
        <w:rPr>
          <w:rFonts w:ascii="黑体" w:hAnsi="黑体" w:eastAsia="黑体"/>
          <w:sz w:val="32"/>
          <w:szCs w:val="28"/>
        </w:rPr>
        <w:t>…………………………</w:t>
      </w:r>
      <w:r>
        <w:rPr>
          <w:rFonts w:hint="eastAsia" w:ascii="黑体" w:hAnsi="黑体" w:eastAsia="黑体"/>
          <w:sz w:val="32"/>
          <w:szCs w:val="28"/>
          <w:lang w:val="en-US" w:eastAsia="zh-CN"/>
        </w:rPr>
        <w:t>8</w:t>
      </w:r>
    </w:p>
    <w:p w14:paraId="7EC706BF">
      <w:pPr>
        <w:adjustRightInd w:val="0"/>
        <w:snapToGrid w:val="0"/>
        <w:spacing w:line="420" w:lineRule="auto"/>
        <w:ind w:firstLine="240" w:firstLineChars="75"/>
        <w:jc w:val="distribute"/>
        <w:rPr>
          <w:rFonts w:ascii="黑体" w:hAnsi="黑体" w:eastAsia="黑体"/>
          <w:sz w:val="32"/>
          <w:szCs w:val="28"/>
        </w:rPr>
      </w:pPr>
      <w:r>
        <w:rPr>
          <w:rFonts w:hint="eastAsia" w:ascii="Times New Roman" w:hAnsi="Times New Roman" w:eastAsia="黑体" w:cs="Times New Roman"/>
          <w:sz w:val="32"/>
          <w:szCs w:val="28"/>
          <w:lang w:val="en-US" w:eastAsia="zh-CN"/>
        </w:rPr>
        <w:t>五、</w:t>
      </w:r>
      <w:r>
        <w:rPr>
          <w:rFonts w:hint="eastAsia" w:ascii="Times New Roman" w:hAnsi="Times New Roman" w:eastAsia="黑体" w:cs="Times New Roman"/>
          <w:sz w:val="32"/>
          <w:szCs w:val="32"/>
          <w:lang w:val="en-US" w:eastAsia="zh-CN"/>
        </w:rPr>
        <w:t>深化国企改革，提升企业治理水平</w:t>
      </w:r>
      <w:r>
        <w:rPr>
          <w:rFonts w:hint="eastAsia" w:ascii="Times New Roman" w:hAnsi="Times New Roman" w:eastAsia="黑体" w:cs="Times New Roman"/>
          <w:sz w:val="32"/>
          <w:szCs w:val="28"/>
        </w:rPr>
        <w:t>………………………</w:t>
      </w:r>
      <w:r>
        <w:rPr>
          <w:rFonts w:ascii="黑体" w:hAnsi="黑体" w:eastAsia="黑体"/>
          <w:sz w:val="32"/>
          <w:szCs w:val="28"/>
        </w:rPr>
        <w:t>…</w:t>
      </w:r>
      <w:r>
        <w:rPr>
          <w:rFonts w:hint="eastAsia" w:ascii="Times New Roman" w:hAnsi="Times New Roman" w:eastAsia="黑体"/>
          <w:sz w:val="32"/>
          <w:szCs w:val="28"/>
        </w:rPr>
        <w:t>9</w:t>
      </w:r>
    </w:p>
    <w:p w14:paraId="6A4FCFA5">
      <w:pPr>
        <w:spacing w:line="560" w:lineRule="exact"/>
        <w:ind w:firstLine="640" w:firstLineChars="200"/>
        <w:rPr>
          <w:rFonts w:ascii="Times New Roman" w:hAnsi="Times New Roman" w:eastAsia="黑体"/>
          <w:sz w:val="32"/>
          <w:szCs w:val="32"/>
        </w:rPr>
      </w:pPr>
    </w:p>
    <w:p w14:paraId="27BAB426">
      <w:pPr>
        <w:spacing w:line="560" w:lineRule="exact"/>
        <w:ind w:firstLine="640" w:firstLineChars="200"/>
        <w:rPr>
          <w:rFonts w:ascii="Times New Roman" w:hAnsi="Times New Roman" w:eastAsia="黑体"/>
          <w:sz w:val="32"/>
          <w:szCs w:val="32"/>
        </w:rPr>
      </w:pPr>
    </w:p>
    <w:p w14:paraId="7970575D">
      <w:pPr>
        <w:spacing w:line="560" w:lineRule="exact"/>
        <w:ind w:firstLine="640" w:firstLineChars="200"/>
        <w:rPr>
          <w:rFonts w:ascii="Times New Roman" w:hAnsi="Times New Roman" w:eastAsia="黑体"/>
          <w:sz w:val="32"/>
          <w:szCs w:val="32"/>
        </w:rPr>
      </w:pPr>
    </w:p>
    <w:p w14:paraId="2E355261">
      <w:pPr>
        <w:spacing w:line="560" w:lineRule="exact"/>
        <w:ind w:firstLine="640" w:firstLineChars="200"/>
        <w:rPr>
          <w:rFonts w:ascii="Times New Roman" w:hAnsi="Times New Roman" w:eastAsia="黑体"/>
          <w:sz w:val="32"/>
          <w:szCs w:val="32"/>
        </w:rPr>
      </w:pPr>
    </w:p>
    <w:p w14:paraId="5F79BF10">
      <w:pPr>
        <w:spacing w:line="560" w:lineRule="exact"/>
        <w:ind w:firstLine="640" w:firstLineChars="200"/>
        <w:rPr>
          <w:rFonts w:ascii="Times New Roman" w:hAnsi="Times New Roman" w:eastAsia="黑体"/>
          <w:sz w:val="32"/>
          <w:szCs w:val="32"/>
        </w:rPr>
      </w:pPr>
    </w:p>
    <w:p w14:paraId="2F2C9F78">
      <w:pPr>
        <w:spacing w:line="560" w:lineRule="exact"/>
        <w:ind w:firstLine="640" w:firstLineChars="200"/>
        <w:rPr>
          <w:rFonts w:ascii="Times New Roman" w:hAnsi="Times New Roman" w:eastAsia="黑体"/>
          <w:sz w:val="32"/>
          <w:szCs w:val="32"/>
        </w:rPr>
      </w:pPr>
    </w:p>
    <w:p w14:paraId="1F8002CB">
      <w:pPr>
        <w:spacing w:line="560" w:lineRule="exact"/>
        <w:ind w:firstLine="640" w:firstLineChars="200"/>
        <w:rPr>
          <w:rFonts w:ascii="Times New Roman" w:hAnsi="Times New Roman" w:eastAsia="黑体"/>
          <w:sz w:val="32"/>
          <w:szCs w:val="32"/>
        </w:rPr>
      </w:pPr>
    </w:p>
    <w:p w14:paraId="16D1E37C">
      <w:pPr>
        <w:spacing w:line="560" w:lineRule="exact"/>
        <w:ind w:firstLine="640" w:firstLineChars="200"/>
        <w:rPr>
          <w:rFonts w:ascii="Times New Roman" w:hAnsi="Times New Roman" w:eastAsia="黑体"/>
          <w:sz w:val="32"/>
          <w:szCs w:val="32"/>
        </w:rPr>
      </w:pPr>
    </w:p>
    <w:p w14:paraId="5D0D7501">
      <w:pPr>
        <w:spacing w:line="560" w:lineRule="exact"/>
        <w:ind w:firstLine="640" w:firstLineChars="200"/>
        <w:rPr>
          <w:rFonts w:ascii="Times New Roman" w:hAnsi="Times New Roman" w:eastAsia="黑体"/>
          <w:sz w:val="32"/>
          <w:szCs w:val="32"/>
        </w:rPr>
      </w:pPr>
    </w:p>
    <w:p w14:paraId="68224603">
      <w:pPr>
        <w:spacing w:line="560" w:lineRule="exact"/>
        <w:ind w:firstLine="640" w:firstLineChars="200"/>
        <w:rPr>
          <w:rFonts w:ascii="Times New Roman" w:hAnsi="Times New Roman" w:eastAsia="黑体"/>
          <w:sz w:val="32"/>
          <w:szCs w:val="32"/>
        </w:rPr>
      </w:pPr>
    </w:p>
    <w:p w14:paraId="2E349B43">
      <w:pPr>
        <w:spacing w:line="560" w:lineRule="exact"/>
        <w:ind w:firstLine="640" w:firstLineChars="200"/>
        <w:rPr>
          <w:rFonts w:ascii="Times New Roman" w:hAnsi="Times New Roman" w:eastAsia="黑体"/>
          <w:sz w:val="32"/>
          <w:szCs w:val="32"/>
        </w:rPr>
      </w:pPr>
    </w:p>
    <w:p w14:paraId="41EE536F">
      <w:pPr>
        <w:spacing w:line="560" w:lineRule="exact"/>
        <w:ind w:firstLine="640" w:firstLineChars="200"/>
        <w:rPr>
          <w:rFonts w:ascii="Times New Roman" w:hAnsi="Times New Roman" w:eastAsia="黑体"/>
          <w:sz w:val="32"/>
          <w:szCs w:val="32"/>
        </w:rPr>
        <w:sectPr>
          <w:headerReference r:id="rId3" w:type="default"/>
          <w:footerReference r:id="rId4" w:type="default"/>
          <w:pgSz w:w="11906" w:h="16838"/>
          <w:pgMar w:top="2098" w:right="1474" w:bottom="1984" w:left="1474" w:header="851" w:footer="1361" w:gutter="0"/>
          <w:cols w:space="425" w:num="1"/>
          <w:docGrid w:type="lines" w:linePitch="312" w:charSpace="0"/>
        </w:sectPr>
      </w:pPr>
    </w:p>
    <w:p w14:paraId="7455C64D">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黑体"/>
          <w:sz w:val="32"/>
          <w:szCs w:val="32"/>
        </w:rPr>
      </w:pPr>
      <w:r>
        <w:rPr>
          <w:rFonts w:ascii="Times New Roman" w:hAnsi="Times New Roman" w:eastAsia="黑体"/>
          <w:sz w:val="32"/>
          <w:szCs w:val="32"/>
        </w:rPr>
        <w:t>一、企业基本情况</w:t>
      </w:r>
    </w:p>
    <w:p w14:paraId="36199DA7">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楷体"/>
          <w:sz w:val="32"/>
          <w:szCs w:val="32"/>
        </w:rPr>
      </w:pPr>
      <w:r>
        <w:rPr>
          <w:rFonts w:ascii="Times New Roman" w:hAnsi="Times New Roman" w:eastAsia="楷体"/>
          <w:sz w:val="32"/>
          <w:szCs w:val="32"/>
        </w:rPr>
        <w:t>（一）公司概况</w:t>
      </w:r>
    </w:p>
    <w:p w14:paraId="3AB209D0">
      <w:pPr>
        <w:pStyle w:val="2"/>
        <w:keepNext w:val="0"/>
        <w:keepLines w:val="0"/>
        <w:pageBreakBefore w:val="0"/>
        <w:kinsoku/>
        <w:wordWrap/>
        <w:overflowPunct/>
        <w:topLinePunct w:val="0"/>
        <w:autoSpaceDE/>
        <w:autoSpaceDN/>
        <w:bidi w:val="0"/>
        <w:adjustRightInd/>
        <w:snapToGrid/>
        <w:spacing w:after="0" w:line="560" w:lineRule="exact"/>
        <w:ind w:firstLine="640" w:firstLineChars="200"/>
        <w:textAlignment w:val="auto"/>
        <w:rPr>
          <w:rFonts w:ascii="Times New Roman" w:hAnsi="Times New Roman" w:eastAsia="仿宋"/>
          <w:sz w:val="32"/>
          <w:szCs w:val="32"/>
        </w:rPr>
      </w:pPr>
      <w:r>
        <w:rPr>
          <w:rFonts w:ascii="Times New Roman" w:hAnsi="Times New Roman" w:eastAsia="仿宋_GB2312"/>
          <w:sz w:val="32"/>
          <w:szCs w:val="32"/>
        </w:rPr>
        <w:t>2000年3月7日，根据安徽省六安行署《关于成立六安城市建设投资有限公司的通知》（六署秘〔2000〕1号）成立六安城市建设投资有限公司，</w:t>
      </w:r>
      <w:r>
        <w:rPr>
          <w:rFonts w:hint="eastAsia" w:ascii="Times New Roman" w:hAnsi="Times New Roman" w:eastAsia="仿宋_GB2312"/>
          <w:sz w:val="32"/>
          <w:szCs w:val="32"/>
          <w:lang w:val="en-US" w:eastAsia="zh-CN"/>
        </w:rPr>
        <w:t>公司注册资本17.897亿元</w:t>
      </w:r>
      <w:r>
        <w:rPr>
          <w:rFonts w:ascii="Times New Roman" w:hAnsi="Times New Roman" w:eastAsia="仿宋_GB2312" w:cs="Times New Roman"/>
          <w:sz w:val="32"/>
          <w:szCs w:val="32"/>
        </w:rPr>
        <w:t>。</w:t>
      </w:r>
      <w:r>
        <w:rPr>
          <w:rFonts w:ascii="Times New Roman" w:hAnsi="Times New Roman" w:eastAsia="仿宋" w:cs="Times New Roman"/>
          <w:sz w:val="32"/>
          <w:szCs w:val="32"/>
        </w:rPr>
        <w:t>截至202</w:t>
      </w:r>
      <w:r>
        <w:rPr>
          <w:rFonts w:hint="eastAsia" w:ascii="Times New Roman" w:hAnsi="Times New Roman" w:eastAsia="仿宋" w:cs="Times New Roman"/>
          <w:sz w:val="32"/>
          <w:szCs w:val="32"/>
          <w:lang w:val="en-US" w:eastAsia="zh-CN"/>
        </w:rPr>
        <w:t>4</w:t>
      </w:r>
      <w:r>
        <w:rPr>
          <w:rFonts w:ascii="Times New Roman" w:hAnsi="Times New Roman" w:eastAsia="仿宋" w:cs="Times New Roman"/>
          <w:sz w:val="32"/>
          <w:szCs w:val="32"/>
        </w:rPr>
        <w:t>年底，市城投公司资产总额</w:t>
      </w:r>
      <w:r>
        <w:rPr>
          <w:rFonts w:hint="eastAsia" w:ascii="仿宋_GB2312" w:hAnsi="仿宋_GB2312" w:eastAsia="仿宋_GB2312" w:cs="仿宋_GB2312"/>
          <w:sz w:val="32"/>
          <w:szCs w:val="32"/>
        </w:rPr>
        <w:t>1054.48</w:t>
      </w:r>
      <w:r>
        <w:rPr>
          <w:rFonts w:ascii="Times New Roman" w:hAnsi="Times New Roman" w:eastAsia="仿宋" w:cs="Times New Roman"/>
          <w:sz w:val="32"/>
          <w:szCs w:val="32"/>
        </w:rPr>
        <w:t>亿元，主体</w:t>
      </w:r>
      <w:r>
        <w:rPr>
          <w:rFonts w:ascii="Times New Roman" w:hAnsi="Times New Roman" w:eastAsia="仿宋"/>
          <w:sz w:val="32"/>
          <w:szCs w:val="32"/>
        </w:rPr>
        <w:t>信用评级为AA+</w:t>
      </w:r>
      <w:r>
        <w:rPr>
          <w:rFonts w:hint="eastAsia" w:ascii="Times New Roman" w:hAnsi="Times New Roman" w:eastAsia="仿宋"/>
          <w:sz w:val="32"/>
          <w:szCs w:val="32"/>
          <w:lang w:eastAsia="zh-CN"/>
        </w:rPr>
        <w:t>，</w:t>
      </w:r>
      <w:r>
        <w:rPr>
          <w:rFonts w:ascii="Times New Roman" w:hAnsi="Times New Roman" w:eastAsia="仿宋"/>
          <w:sz w:val="32"/>
          <w:szCs w:val="32"/>
        </w:rPr>
        <w:t>经营情况良好。</w:t>
      </w:r>
    </w:p>
    <w:p w14:paraId="1A3EABB1">
      <w:pPr>
        <w:pStyle w:val="2"/>
        <w:keepNext w:val="0"/>
        <w:keepLines w:val="0"/>
        <w:pageBreakBefore w:val="0"/>
        <w:kinsoku/>
        <w:wordWrap/>
        <w:overflowPunct/>
        <w:topLinePunct w:val="0"/>
        <w:autoSpaceDE/>
        <w:autoSpaceDN/>
        <w:bidi w:val="0"/>
        <w:adjustRightInd/>
        <w:snapToGrid/>
        <w:spacing w:after="0" w:line="560" w:lineRule="exact"/>
        <w:ind w:firstLine="640" w:firstLineChars="200"/>
        <w:textAlignment w:val="auto"/>
        <w:rPr>
          <w:rFonts w:ascii="Times New Roman" w:hAnsi="Times New Roman" w:eastAsia="仿宋_GB2312"/>
          <w:sz w:val="32"/>
          <w:szCs w:val="32"/>
        </w:rPr>
      </w:pPr>
      <w:r>
        <w:rPr>
          <w:rFonts w:ascii="Times New Roman" w:hAnsi="Times New Roman" w:eastAsia="仿宋_GB2312"/>
          <w:sz w:val="32"/>
          <w:szCs w:val="32"/>
        </w:rPr>
        <w:t>六安城市建设投资有限公司主要是行使国有资本投资主体职能，负责城市基础设施建设的资金筹措，组织国有资本运营，盘活城市资产，放大城市资产增量，优化城市资源配置，促进经济社会发展等。</w:t>
      </w:r>
    </w:p>
    <w:p w14:paraId="292980D5">
      <w:pPr>
        <w:pStyle w:val="2"/>
        <w:keepNext w:val="0"/>
        <w:keepLines w:val="0"/>
        <w:pageBreakBefore w:val="0"/>
        <w:kinsoku/>
        <w:wordWrap/>
        <w:overflowPunct/>
        <w:topLinePunct w:val="0"/>
        <w:autoSpaceDE/>
        <w:autoSpaceDN/>
        <w:bidi w:val="0"/>
        <w:adjustRightInd/>
        <w:snapToGrid/>
        <w:spacing w:after="0" w:line="560" w:lineRule="exact"/>
        <w:ind w:firstLine="640" w:firstLineChars="200"/>
        <w:textAlignment w:val="auto"/>
        <w:rPr>
          <w:rFonts w:ascii="Times New Roman" w:hAnsi="Times New Roman" w:eastAsia="楷体"/>
          <w:sz w:val="32"/>
          <w:szCs w:val="32"/>
        </w:rPr>
      </w:pPr>
      <w:r>
        <w:rPr>
          <w:rFonts w:ascii="Times New Roman" w:hAnsi="Times New Roman" w:eastAsia="楷体"/>
          <w:sz w:val="32"/>
          <w:szCs w:val="32"/>
        </w:rPr>
        <w:t>（二）公司治理与组织架构</w:t>
      </w:r>
    </w:p>
    <w:p w14:paraId="5AA1149C">
      <w:pPr>
        <w:pStyle w:val="2"/>
        <w:keepNext w:val="0"/>
        <w:keepLines w:val="0"/>
        <w:pageBreakBefore w:val="0"/>
        <w:kinsoku/>
        <w:wordWrap/>
        <w:overflowPunct/>
        <w:topLinePunct w:val="0"/>
        <w:autoSpaceDE/>
        <w:autoSpaceDN/>
        <w:bidi w:val="0"/>
        <w:adjustRightInd/>
        <w:snapToGrid/>
        <w:spacing w:after="0" w:line="560" w:lineRule="exact"/>
        <w:ind w:firstLine="640" w:firstLineChars="200"/>
        <w:textAlignment w:val="auto"/>
        <w:rPr>
          <w:rFonts w:ascii="Times New Roman" w:hAnsi="Times New Roman" w:eastAsia="仿宋_GB2312"/>
          <w:sz w:val="32"/>
          <w:szCs w:val="32"/>
        </w:rPr>
      </w:pPr>
      <w:r>
        <w:rPr>
          <w:rFonts w:ascii="Times New Roman" w:hAnsi="Times New Roman" w:eastAsia="仿宋_GB2312"/>
          <w:sz w:val="32"/>
          <w:szCs w:val="32"/>
        </w:rPr>
        <w:t>六安城市建设投资有限公司是由六安市人民政府批准设立的国有独资企业，由六安市</w:t>
      </w:r>
      <w:r>
        <w:rPr>
          <w:rFonts w:hint="eastAsia" w:ascii="Times New Roman" w:hAnsi="Times New Roman" w:eastAsia="仿宋_GB2312"/>
          <w:sz w:val="32"/>
          <w:szCs w:val="32"/>
          <w:lang w:val="en-US" w:eastAsia="zh-CN"/>
        </w:rPr>
        <w:t>人民政府</w:t>
      </w:r>
      <w:r>
        <w:rPr>
          <w:rFonts w:ascii="Times New Roman" w:hAnsi="Times New Roman" w:eastAsia="仿宋_GB2312"/>
          <w:sz w:val="32"/>
          <w:szCs w:val="32"/>
        </w:rPr>
        <w:t>国有资产</w:t>
      </w:r>
      <w:r>
        <w:rPr>
          <w:rFonts w:hint="eastAsia" w:ascii="Times New Roman" w:hAnsi="Times New Roman" w:eastAsia="仿宋_GB2312"/>
          <w:sz w:val="32"/>
          <w:szCs w:val="32"/>
          <w:lang w:val="en-US" w:eastAsia="zh-CN"/>
        </w:rPr>
        <w:t>监督</w:t>
      </w:r>
      <w:r>
        <w:rPr>
          <w:rFonts w:ascii="Times New Roman" w:hAnsi="Times New Roman" w:eastAsia="仿宋_GB2312"/>
          <w:sz w:val="32"/>
          <w:szCs w:val="32"/>
        </w:rPr>
        <w:t>管理委员会出资并履行股东职责。公司具有独立法人资格，依法自主经营、自负盈亏、独立核算。</w:t>
      </w:r>
    </w:p>
    <w:p w14:paraId="5F082FB1">
      <w:pPr>
        <w:pStyle w:val="2"/>
        <w:keepNext w:val="0"/>
        <w:keepLines w:val="0"/>
        <w:pageBreakBefore w:val="0"/>
        <w:kinsoku/>
        <w:wordWrap/>
        <w:overflowPunct/>
        <w:topLinePunct w:val="0"/>
        <w:autoSpaceDE/>
        <w:autoSpaceDN/>
        <w:bidi w:val="0"/>
        <w:adjustRightInd/>
        <w:snapToGrid/>
        <w:spacing w:after="0" w:line="560" w:lineRule="exact"/>
        <w:ind w:firstLine="640" w:firstLineChars="200"/>
        <w:textAlignment w:val="auto"/>
        <w:rPr>
          <w:rFonts w:ascii="Times New Roman" w:hAnsi="Times New Roman" w:eastAsia="仿宋_GB2312"/>
          <w:sz w:val="32"/>
          <w:szCs w:val="32"/>
        </w:rPr>
      </w:pPr>
      <w:r>
        <w:rPr>
          <w:rFonts w:ascii="Times New Roman" w:hAnsi="Times New Roman" w:eastAsia="仿宋_GB2312"/>
          <w:sz w:val="32"/>
          <w:szCs w:val="32"/>
        </w:rPr>
        <w:t>市城投公司党委、董事会、经理层等治理主体各司其职、各负其责、协调运转、有效制衡的公司治理结构进一步健全。公司设董事会，董事会对市国资委负责，向市国资委报告工作，执行市国资委的决议。</w:t>
      </w:r>
    </w:p>
    <w:p w14:paraId="4507B291">
      <w:pPr>
        <w:pStyle w:val="2"/>
        <w:keepNext w:val="0"/>
        <w:keepLines w:val="0"/>
        <w:pageBreakBefore w:val="0"/>
        <w:kinsoku/>
        <w:wordWrap/>
        <w:overflowPunct/>
        <w:topLinePunct w:val="0"/>
        <w:autoSpaceDE/>
        <w:autoSpaceDN/>
        <w:bidi w:val="0"/>
        <w:adjustRightInd/>
        <w:snapToGrid/>
        <w:spacing w:after="0" w:line="560" w:lineRule="exact"/>
        <w:ind w:firstLine="640" w:firstLineChars="200"/>
        <w:textAlignment w:val="auto"/>
        <w:rPr>
          <w:rFonts w:ascii="Times New Roman" w:hAnsi="Times New Roman" w:eastAsia="仿宋_GB2312"/>
          <w:sz w:val="32"/>
          <w:szCs w:val="32"/>
        </w:rPr>
      </w:pPr>
      <w:r>
        <w:rPr>
          <w:rFonts w:ascii="Times New Roman" w:hAnsi="Times New Roman" w:eastAsia="仿宋_GB2312"/>
          <w:sz w:val="32"/>
          <w:szCs w:val="32"/>
        </w:rPr>
        <w:t>经理层是公司执行机构，负责执行董事会决议，负责公司日常经营管理活动。</w:t>
      </w:r>
    </w:p>
    <w:p w14:paraId="72F20305">
      <w:pPr>
        <w:pStyle w:val="2"/>
        <w:keepNext w:val="0"/>
        <w:keepLines w:val="0"/>
        <w:pageBreakBefore w:val="0"/>
        <w:kinsoku/>
        <w:wordWrap/>
        <w:overflowPunct/>
        <w:topLinePunct w:val="0"/>
        <w:autoSpaceDE/>
        <w:autoSpaceDN/>
        <w:bidi w:val="0"/>
        <w:adjustRightInd/>
        <w:snapToGrid/>
        <w:spacing w:after="0" w:line="560" w:lineRule="exact"/>
        <w:ind w:firstLine="640" w:firstLineChars="200"/>
        <w:textAlignment w:val="auto"/>
        <w:rPr>
          <w:rFonts w:ascii="Times New Roman" w:hAnsi="Times New Roman" w:eastAsia="仿宋_GB2312"/>
          <w:sz w:val="32"/>
          <w:szCs w:val="32"/>
        </w:rPr>
      </w:pPr>
      <w:r>
        <w:rPr>
          <w:rFonts w:ascii="Times New Roman" w:hAnsi="Times New Roman" w:eastAsia="仿宋_GB2312"/>
          <w:sz w:val="32"/>
          <w:szCs w:val="32"/>
        </w:rPr>
        <w:t>至202</w:t>
      </w:r>
      <w:r>
        <w:rPr>
          <w:rFonts w:hint="eastAsia" w:ascii="Times New Roman" w:hAnsi="Times New Roman" w:eastAsia="仿宋_GB2312"/>
          <w:sz w:val="32"/>
          <w:szCs w:val="32"/>
          <w:lang w:val="en-US" w:eastAsia="zh-CN"/>
        </w:rPr>
        <w:t>4</w:t>
      </w:r>
      <w:r>
        <w:rPr>
          <w:rFonts w:ascii="Times New Roman" w:hAnsi="Times New Roman" w:eastAsia="仿宋_GB2312"/>
          <w:sz w:val="32"/>
          <w:szCs w:val="32"/>
        </w:rPr>
        <w:t>年底</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lang w:val="en-US" w:eastAsia="zh-CN"/>
        </w:rPr>
        <w:t>市</w:t>
      </w:r>
      <w:r>
        <w:rPr>
          <w:rFonts w:ascii="Times New Roman" w:hAnsi="Times New Roman" w:eastAsia="仿宋_GB2312"/>
          <w:sz w:val="32"/>
          <w:szCs w:val="32"/>
        </w:rPr>
        <w:t>城投公司内设</w:t>
      </w:r>
      <w:r>
        <w:rPr>
          <w:rFonts w:hint="eastAsia" w:ascii="Times New Roman" w:hAnsi="Times New Roman" w:eastAsia="仿宋_GB2312"/>
          <w:sz w:val="32"/>
          <w:szCs w:val="32"/>
        </w:rPr>
        <w:t>党群人事部</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工会、妇委会、共青团、武装部</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、纪检监察室、综合管理部、审计法务部、财务融资部、投资管理部、工程采购部、资产运营部</w:t>
      </w:r>
      <w:r>
        <w:rPr>
          <w:rFonts w:ascii="Times New Roman" w:hAnsi="Times New Roman" w:eastAsia="仿宋_GB2312"/>
          <w:sz w:val="32"/>
          <w:szCs w:val="32"/>
        </w:rPr>
        <w:t>等</w:t>
      </w:r>
      <w:r>
        <w:rPr>
          <w:rFonts w:hint="eastAsia" w:ascii="Times New Roman" w:hAnsi="Times New Roman" w:eastAsia="仿宋_GB2312"/>
          <w:sz w:val="32"/>
          <w:szCs w:val="32"/>
          <w:lang w:val="en-US" w:eastAsia="zh-CN"/>
        </w:rPr>
        <w:t>8</w:t>
      </w:r>
      <w:r>
        <w:rPr>
          <w:rFonts w:ascii="Times New Roman" w:hAnsi="Times New Roman" w:eastAsia="仿宋_GB2312"/>
          <w:sz w:val="32"/>
          <w:szCs w:val="32"/>
        </w:rPr>
        <w:t>个部门</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下设交投公司、国资运营公司、水投公司、审图中心4个二级子公司，三级控股子公司11家，对外参股公司20家。</w:t>
      </w:r>
    </w:p>
    <w:p w14:paraId="4A63A0B9">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黑体"/>
          <w:bCs/>
          <w:color w:val="000000"/>
          <w:sz w:val="32"/>
          <w:szCs w:val="32"/>
          <w:highlight w:val="yellow"/>
        </w:rPr>
      </w:pPr>
      <w:r>
        <w:rPr>
          <w:rFonts w:ascii="Times New Roman" w:hAnsi="Times New Roman" w:eastAsia="黑体"/>
          <w:sz w:val="32"/>
          <w:szCs w:val="32"/>
        </w:rPr>
        <w:t>二、</w:t>
      </w:r>
      <w:r>
        <w:rPr>
          <w:rFonts w:hint="eastAsia" w:ascii="Times New Roman" w:hAnsi="Times New Roman" w:eastAsia="黑体"/>
          <w:bCs/>
          <w:color w:val="000000"/>
          <w:sz w:val="32"/>
          <w:szCs w:val="32"/>
        </w:rPr>
        <w:t>强党建抓作风，提升党建引领能力</w:t>
      </w:r>
    </w:p>
    <w:p w14:paraId="55873773">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仿宋_GB2312"/>
          <w:kern w:val="0"/>
          <w:sz w:val="32"/>
          <w:szCs w:val="32"/>
        </w:rPr>
      </w:pPr>
      <w:r>
        <w:rPr>
          <w:rFonts w:ascii="Times New Roman" w:hAnsi="Times New Roman" w:eastAsia="仿宋_GB2312" w:cs="Times New Roman"/>
          <w:sz w:val="32"/>
          <w:szCs w:val="32"/>
        </w:rPr>
        <w:t>2024年，</w:t>
      </w:r>
      <w:r>
        <w:rPr>
          <w:rFonts w:hint="eastAsia" w:ascii="Times New Roman" w:hAnsi="Times New Roman" w:eastAsia="仿宋_GB2312" w:cs="Times New Roman"/>
          <w:sz w:val="32"/>
          <w:szCs w:val="32"/>
        </w:rPr>
        <w:t>公司党委</w:t>
      </w:r>
      <w:r>
        <w:rPr>
          <w:rFonts w:ascii="Times New Roman" w:hAnsi="Times New Roman" w:eastAsia="仿宋_GB2312" w:cs="Times New Roman"/>
          <w:sz w:val="32"/>
          <w:szCs w:val="32"/>
        </w:rPr>
        <w:t>坚持以习近平新时代中国特色社会主义思想为指导，全面贯彻党的二十大及</w:t>
      </w:r>
      <w:r>
        <w:rPr>
          <w:rFonts w:hint="eastAsia" w:ascii="Times New Roman" w:hAnsi="Times New Roman" w:eastAsia="仿宋_GB2312" w:cs="Times New Roman"/>
          <w:sz w:val="32"/>
          <w:szCs w:val="32"/>
          <w:lang w:eastAsia="zh-CN"/>
        </w:rPr>
        <w:t>党的二十届三中全会</w:t>
      </w:r>
      <w:r>
        <w:rPr>
          <w:rFonts w:ascii="Times New Roman" w:hAnsi="Times New Roman" w:eastAsia="仿宋_GB2312" w:cs="Times New Roman"/>
          <w:sz w:val="32"/>
          <w:szCs w:val="32"/>
        </w:rPr>
        <w:t>精神，学习贯彻习近平总书记考察安徽考察六安重要讲话精神及习近平总书记关于国有企业党的建设和改革发展的重要论述，深入贯彻《中国共产党国有企业基层组织工作条例（试行）》及新时代党的建设总要求和新时代党的组织路线，始终</w:t>
      </w:r>
      <w:r>
        <w:rPr>
          <w:rFonts w:hint="eastAsia" w:ascii="Times New Roman" w:hAnsi="Times New Roman" w:eastAsia="仿宋_GB2312" w:cs="Times New Roman"/>
          <w:sz w:val="32"/>
          <w:szCs w:val="32"/>
          <w:lang w:eastAsia="zh-CN"/>
        </w:rPr>
        <w:t>坚持和加强党的领导和</w:t>
      </w:r>
      <w:r>
        <w:rPr>
          <w:rFonts w:ascii="Times New Roman" w:hAnsi="Times New Roman" w:eastAsia="仿宋_GB2312" w:cs="Times New Roman"/>
          <w:sz w:val="32"/>
          <w:szCs w:val="32"/>
        </w:rPr>
        <w:t>党的建设，扎实开展党纪学习教育，充分发挥基层党组织战斗堡垒作用，聚焦主责主业，服务中心大局，为公司转型发展提供坚强有</w:t>
      </w:r>
      <w:r>
        <w:rPr>
          <w:rFonts w:hint="eastAsia" w:ascii="Times New Roman" w:hAnsi="Times New Roman" w:eastAsia="仿宋_GB2312" w:cs="Times New Roman"/>
          <w:sz w:val="32"/>
          <w:szCs w:val="32"/>
          <w:lang w:eastAsia="zh-CN"/>
        </w:rPr>
        <w:t>力的</w:t>
      </w:r>
      <w:r>
        <w:rPr>
          <w:rFonts w:ascii="Times New Roman" w:hAnsi="Times New Roman" w:eastAsia="仿宋_GB2312" w:cs="Times New Roman"/>
          <w:sz w:val="32"/>
          <w:szCs w:val="32"/>
        </w:rPr>
        <w:t>政治和组织保证。</w:t>
      </w:r>
    </w:p>
    <w:p w14:paraId="76DF30F8">
      <w:pPr>
        <w:keepNext w:val="0"/>
        <w:keepLines w:val="0"/>
        <w:pageBreakBefore w:val="0"/>
        <w:kinsoku/>
        <w:wordWrap/>
        <w:overflowPunct/>
        <w:topLinePunct w:val="0"/>
        <w:autoSpaceDE/>
        <w:autoSpaceDN/>
        <w:bidi w:val="0"/>
        <w:adjustRightInd/>
        <w:snapToGrid/>
        <w:spacing w:after="0" w:line="560" w:lineRule="exact"/>
        <w:ind w:firstLine="643" w:firstLineChars="200"/>
        <w:jc w:val="both"/>
        <w:textAlignment w:val="auto"/>
        <w:rPr>
          <w:rFonts w:hint="eastAsia" w:ascii="Times New Roman" w:hAnsi="Times New Roman" w:eastAsia="楷体" w:cs="Times New Roman"/>
          <w:b/>
          <w:bCs/>
          <w:sz w:val="32"/>
          <w:szCs w:val="32"/>
        </w:rPr>
      </w:pPr>
      <w:r>
        <w:rPr>
          <w:rFonts w:ascii="Times New Roman" w:hAnsi="Times New Roman" w:eastAsia="楷体" w:cs="Times New Roman"/>
          <w:b/>
          <w:bCs/>
          <w:sz w:val="32"/>
          <w:szCs w:val="32"/>
        </w:rPr>
        <w:t>（一）</w:t>
      </w:r>
      <w:r>
        <w:rPr>
          <w:rFonts w:hint="eastAsia" w:ascii="Times New Roman" w:hAnsi="Times New Roman" w:eastAsia="楷体" w:cs="Times New Roman"/>
          <w:b/>
          <w:bCs/>
          <w:sz w:val="32"/>
          <w:szCs w:val="32"/>
        </w:rPr>
        <w:t>提高政治站位</w:t>
      </w:r>
      <w:r>
        <w:rPr>
          <w:rFonts w:ascii="Times New Roman" w:hAnsi="Times New Roman" w:eastAsia="楷体" w:cs="Times New Roman"/>
          <w:b/>
          <w:bCs/>
          <w:sz w:val="32"/>
          <w:szCs w:val="32"/>
        </w:rPr>
        <w:t>，</w:t>
      </w:r>
      <w:r>
        <w:rPr>
          <w:rFonts w:hint="eastAsia" w:ascii="Times New Roman" w:hAnsi="Times New Roman" w:eastAsia="楷体" w:cs="Times New Roman"/>
          <w:b/>
          <w:bCs/>
          <w:sz w:val="32"/>
          <w:szCs w:val="32"/>
        </w:rPr>
        <w:t>充分发挥党建引领作用</w:t>
      </w:r>
    </w:p>
    <w:p w14:paraId="065C9C92">
      <w:pPr>
        <w:keepNext w:val="0"/>
        <w:keepLines w:val="0"/>
        <w:pageBreakBefore w:val="0"/>
        <w:kinsoku/>
        <w:wordWrap/>
        <w:overflowPunct/>
        <w:topLinePunct w:val="0"/>
        <w:autoSpaceDE/>
        <w:autoSpaceDN/>
        <w:bidi w:val="0"/>
        <w:adjustRightInd/>
        <w:snapToGrid/>
        <w:spacing w:after="0" w:line="560" w:lineRule="exact"/>
        <w:ind w:firstLine="643" w:firstLineChars="200"/>
        <w:jc w:val="both"/>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b/>
          <w:color w:val="000000"/>
          <w:sz w:val="32"/>
          <w:szCs w:val="32"/>
          <w:lang w:val="en-US" w:eastAsia="zh-CN"/>
        </w:rPr>
        <w:t>1.</w:t>
      </w:r>
      <w:r>
        <w:rPr>
          <w:rFonts w:hint="default" w:ascii="Times New Roman" w:hAnsi="Times New Roman" w:eastAsia="仿宋_GB2312" w:cs="Times New Roman"/>
          <w:b/>
          <w:color w:val="000000"/>
          <w:sz w:val="32"/>
          <w:szCs w:val="32"/>
        </w:rPr>
        <w:t>加强思想</w:t>
      </w:r>
      <w:r>
        <w:rPr>
          <w:rFonts w:hint="default" w:ascii="Times New Roman" w:hAnsi="Times New Roman" w:eastAsia="仿宋_GB2312" w:cs="Times New Roman"/>
          <w:b/>
          <w:bCs/>
          <w:color w:val="000000"/>
          <w:sz w:val="32"/>
          <w:szCs w:val="32"/>
        </w:rPr>
        <w:t>政治建设。</w:t>
      </w:r>
      <w:r>
        <w:rPr>
          <w:rFonts w:hint="default" w:ascii="Times New Roman" w:hAnsi="Times New Roman" w:eastAsia="仿宋_GB2312" w:cs="Times New Roman"/>
          <w:sz w:val="32"/>
          <w:szCs w:val="32"/>
        </w:rPr>
        <w:t>举办学习贯彻习近平新时代中国特色社会主义思想专题读书班，组织党员、干部参加学习贯彻党的二十届三中全会精神专题培训班。持续深入学习贯彻习近平总书记考察安徽重要讲话精神，认真贯彻执行《中共中央关于加强党的政治建设的意见》《中共中央办公厅关于巩固拓展学习贯彻习近平新时代中国特色社会主义思想主题教育成果的意见》等，推动党员干部职工衷心拥护“两个确立”、忠诚践行“两个维护”。认真落实“第一议题”制度，全年“第一议题”学习38次。召开</w:t>
      </w:r>
      <w:r>
        <w:rPr>
          <w:rFonts w:hint="eastAsia" w:ascii="Times New Roman" w:hAnsi="Times New Roman" w:eastAsia="仿宋_GB2312" w:cs="Times New Roman"/>
          <w:sz w:val="32"/>
          <w:szCs w:val="32"/>
          <w:lang w:eastAsia="zh-CN"/>
        </w:rPr>
        <w:t>理论学习中心组</w:t>
      </w:r>
      <w:r>
        <w:rPr>
          <w:rFonts w:hint="default" w:ascii="Times New Roman" w:hAnsi="Times New Roman" w:eastAsia="仿宋_GB2312" w:cs="Times New Roman"/>
          <w:sz w:val="32"/>
          <w:szCs w:val="32"/>
        </w:rPr>
        <w:t>（扩大）学习会12次，交流研讨6次、20人次，公司党委班子成员提交高质量调研报告4篇。所属5个党支部加强理论学习，全年共召开支委会54次、党员大会26次，主题党日活动54次，支部书记讲党课18场次。</w:t>
      </w:r>
    </w:p>
    <w:p w14:paraId="528E6A72">
      <w:pPr>
        <w:keepNext w:val="0"/>
        <w:keepLines w:val="0"/>
        <w:pageBreakBefore w:val="0"/>
        <w:kinsoku/>
        <w:wordWrap/>
        <w:overflowPunct/>
        <w:topLinePunct w:val="0"/>
        <w:autoSpaceDE/>
        <w:autoSpaceDN/>
        <w:bidi w:val="0"/>
        <w:adjustRightInd/>
        <w:snapToGrid/>
        <w:spacing w:after="0" w:line="560" w:lineRule="exact"/>
        <w:ind w:firstLine="640" w:firstLineChars="200"/>
        <w:jc w:val="both"/>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2.</w:t>
      </w:r>
      <w:r>
        <w:rPr>
          <w:rFonts w:hint="default" w:ascii="Times New Roman" w:hAnsi="Times New Roman" w:eastAsia="仿宋_GB2312" w:cs="Times New Roman"/>
          <w:b/>
          <w:bCs/>
          <w:color w:val="000000"/>
          <w:sz w:val="32"/>
          <w:szCs w:val="32"/>
        </w:rPr>
        <w:t>夯</w:t>
      </w:r>
      <w:r>
        <w:rPr>
          <w:rFonts w:hint="default" w:ascii="Times New Roman" w:hAnsi="Times New Roman" w:eastAsia="仿宋_GB2312" w:cs="Times New Roman"/>
          <w:b/>
          <w:color w:val="000000"/>
          <w:sz w:val="32"/>
          <w:szCs w:val="32"/>
        </w:rPr>
        <w:t>实党建工作责任。</w:t>
      </w:r>
      <w:r>
        <w:rPr>
          <w:rFonts w:hint="default" w:ascii="Times New Roman" w:hAnsi="Times New Roman" w:eastAsia="仿宋_GB2312" w:cs="Times New Roman"/>
          <w:sz w:val="32"/>
          <w:szCs w:val="32"/>
        </w:rPr>
        <w:t>调整公司党建工作领导小组、中心组（扩大）学习成员；制定2024年党建工作要点；健全完善“三重一大”、党委议事规则、前置研究讨论事项清单、党委班子成员联系党支部等制度；组织开展2023年度党建责任制考核；压实</w:t>
      </w:r>
      <w:r>
        <w:rPr>
          <w:rFonts w:hint="eastAsia" w:ascii="Times New Roman" w:hAnsi="Times New Roman" w:eastAsia="仿宋_GB2312" w:cs="Times New Roman"/>
          <w:sz w:val="32"/>
          <w:szCs w:val="32"/>
          <w:lang w:eastAsia="zh-CN"/>
        </w:rPr>
        <w:t>全面从严治党主体责任</w:t>
      </w:r>
      <w:r>
        <w:rPr>
          <w:rFonts w:hint="default" w:ascii="Times New Roman" w:hAnsi="Times New Roman" w:eastAsia="仿宋_GB2312" w:cs="Times New Roman"/>
          <w:sz w:val="32"/>
          <w:szCs w:val="32"/>
        </w:rPr>
        <w:t>，制定2024年全面从严治党责任清单，细化18项具体举措。</w:t>
      </w:r>
    </w:p>
    <w:p w14:paraId="7DDF95F3">
      <w:pPr>
        <w:keepNext w:val="0"/>
        <w:keepLines w:val="0"/>
        <w:pageBreakBefore w:val="0"/>
        <w:kinsoku/>
        <w:wordWrap/>
        <w:overflowPunct/>
        <w:topLinePunct w:val="0"/>
        <w:autoSpaceDE/>
        <w:autoSpaceDN/>
        <w:bidi w:val="0"/>
        <w:adjustRightInd/>
        <w:snapToGrid/>
        <w:spacing w:after="0" w:line="560" w:lineRule="exact"/>
        <w:ind w:firstLine="640" w:firstLineChars="200"/>
        <w:jc w:val="both"/>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3.</w:t>
      </w:r>
      <w:r>
        <w:rPr>
          <w:rFonts w:hint="default" w:ascii="Times New Roman" w:hAnsi="Times New Roman" w:eastAsia="仿宋_GB2312" w:cs="Times New Roman"/>
          <w:b/>
          <w:bCs/>
          <w:sz w:val="32"/>
          <w:szCs w:val="32"/>
        </w:rPr>
        <w:t>守牢意识形态阵地。</w:t>
      </w:r>
      <w:r>
        <w:rPr>
          <w:rFonts w:hint="default" w:ascii="Times New Roman" w:hAnsi="Times New Roman" w:eastAsia="仿宋_GB2312" w:cs="Times New Roman"/>
          <w:sz w:val="32"/>
          <w:szCs w:val="32"/>
        </w:rPr>
        <w:t>学习贯彻习近平总书记关于意识形态、网络安全和信息化工作的重要指示精神，贯彻落实《（党委）党组意识形态工作责任制实施办法》，组织召开专题会议2次，分析研判部署公司意识形态工作。优化整合各类宣传平台、工作群组，严格落实信息“三审三校”制度，规范平台使用及信息发布。充分利用皖西日报、六安新闻网、公司官网等平台，全年发布各类新闻稿件百余篇。</w:t>
      </w:r>
    </w:p>
    <w:p w14:paraId="1FD67102">
      <w:pPr>
        <w:keepNext w:val="0"/>
        <w:keepLines w:val="0"/>
        <w:pageBreakBefore w:val="0"/>
        <w:kinsoku/>
        <w:wordWrap/>
        <w:overflowPunct/>
        <w:topLinePunct w:val="0"/>
        <w:autoSpaceDE/>
        <w:autoSpaceDN/>
        <w:bidi w:val="0"/>
        <w:adjustRightInd/>
        <w:snapToGrid/>
        <w:spacing w:after="0" w:line="560" w:lineRule="exact"/>
        <w:ind w:firstLine="640" w:firstLineChars="200"/>
        <w:jc w:val="both"/>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4.</w:t>
      </w:r>
      <w:r>
        <w:rPr>
          <w:rFonts w:hint="default" w:ascii="Times New Roman" w:hAnsi="Times New Roman" w:eastAsia="仿宋_GB2312" w:cs="Times New Roman"/>
          <w:b/>
          <w:bCs/>
          <w:sz w:val="32"/>
          <w:szCs w:val="32"/>
        </w:rPr>
        <w:t>持续强化组织建设。</w:t>
      </w:r>
      <w:r>
        <w:rPr>
          <w:rFonts w:hint="default" w:ascii="Times New Roman" w:hAnsi="Times New Roman" w:eastAsia="仿宋_GB2312" w:cs="Times New Roman"/>
          <w:sz w:val="32"/>
          <w:szCs w:val="32"/>
        </w:rPr>
        <w:t>深化党组织优化调整，撤销原公司机关党委，原所属8个党支部优化重组为5个，补选配强支委班子。</w:t>
      </w:r>
    </w:p>
    <w:p w14:paraId="63A404CD">
      <w:pPr>
        <w:keepNext w:val="0"/>
        <w:keepLines w:val="0"/>
        <w:pageBreakBefore w:val="0"/>
        <w:kinsoku/>
        <w:wordWrap/>
        <w:overflowPunct/>
        <w:topLinePunct w:val="0"/>
        <w:autoSpaceDE/>
        <w:autoSpaceDN/>
        <w:bidi w:val="0"/>
        <w:adjustRightInd/>
        <w:snapToGrid/>
        <w:spacing w:after="0" w:line="560" w:lineRule="exact"/>
        <w:ind w:firstLine="643" w:firstLineChars="200"/>
        <w:jc w:val="both"/>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b/>
          <w:bCs/>
          <w:sz w:val="32"/>
          <w:szCs w:val="32"/>
          <w:lang w:val="en-US" w:eastAsia="zh-CN"/>
        </w:rPr>
        <w:t>5.</w:t>
      </w:r>
      <w:r>
        <w:rPr>
          <w:rFonts w:hint="default" w:ascii="Times New Roman" w:hAnsi="Times New Roman" w:eastAsia="仿宋_GB2312" w:cs="Times New Roman"/>
          <w:b/>
          <w:bCs/>
          <w:sz w:val="32"/>
          <w:szCs w:val="32"/>
        </w:rPr>
        <w:t>深入开展争先创优活动。</w:t>
      </w:r>
      <w:r>
        <w:rPr>
          <w:rFonts w:hint="default" w:ascii="Times New Roman" w:hAnsi="Times New Roman" w:eastAsia="仿宋_GB2312" w:cs="Times New Roman"/>
          <w:sz w:val="32"/>
          <w:szCs w:val="32"/>
        </w:rPr>
        <w:t>2024年，公司获评“第十二届</w:t>
      </w:r>
      <w:r>
        <w:rPr>
          <w:rFonts w:hint="default" w:ascii="Times New Roman" w:hAnsi="Times New Roman" w:eastAsia="仿宋_GB2312" w:cs="Times New Roman"/>
          <w:sz w:val="32"/>
          <w:szCs w:val="32"/>
          <w:lang w:val="en-US" w:eastAsia="zh-CN"/>
        </w:rPr>
        <w:t>六安</w:t>
      </w:r>
      <w:r>
        <w:rPr>
          <w:rFonts w:hint="default" w:ascii="Times New Roman" w:hAnsi="Times New Roman" w:eastAsia="仿宋_GB2312" w:cs="Times New Roman"/>
          <w:sz w:val="32"/>
          <w:szCs w:val="32"/>
        </w:rPr>
        <w:t>市直文明单位”，荣获2023年度市直双拥工作先进单位、六安市2023年度</w:t>
      </w:r>
      <w:r>
        <w:rPr>
          <w:rFonts w:hint="eastAsia" w:ascii="Times New Roman" w:hAnsi="Times New Roman" w:eastAsia="仿宋_GB2312" w:cs="Times New Roman"/>
          <w:sz w:val="32"/>
          <w:szCs w:val="32"/>
          <w:lang w:eastAsia="zh-CN"/>
        </w:rPr>
        <w:t>巩固拓展脱贫攻坚成果同乡村振兴</w:t>
      </w:r>
      <w:r>
        <w:rPr>
          <w:rFonts w:hint="default" w:ascii="Times New Roman" w:hAnsi="Times New Roman" w:eastAsia="仿宋_GB2312" w:cs="Times New Roman"/>
          <w:sz w:val="32"/>
          <w:szCs w:val="32"/>
        </w:rPr>
        <w:t>有效衔接“五大帮扶”工作优秀单位，</w:t>
      </w:r>
      <w:r>
        <w:rPr>
          <w:rFonts w:hint="default" w:ascii="Times New Roman" w:hAnsi="Times New Roman" w:eastAsia="仿宋_GB2312" w:cs="Times New Roman"/>
          <w:color w:val="000000"/>
          <w:sz w:val="32"/>
          <w:szCs w:val="32"/>
          <w:shd w:val="clear" w:color="auto" w:fill="FFFFFF"/>
        </w:rPr>
        <w:t>公司一大批干部职工先后荣获“乡村振兴帮扶优秀个人</w:t>
      </w:r>
      <w:r>
        <w:rPr>
          <w:rFonts w:hint="eastAsia" w:ascii="Times New Roman" w:hAnsi="Times New Roman" w:eastAsia="仿宋_GB2312" w:cs="Times New Roman"/>
          <w:color w:val="000000"/>
          <w:sz w:val="32"/>
          <w:szCs w:val="32"/>
          <w:shd w:val="clear" w:color="auto" w:fill="FFFFFF"/>
          <w:lang w:eastAsia="zh-CN"/>
        </w:rPr>
        <w:t>”“</w:t>
      </w:r>
      <w:r>
        <w:rPr>
          <w:rFonts w:hint="default" w:ascii="Times New Roman" w:hAnsi="Times New Roman" w:eastAsia="仿宋_GB2312" w:cs="Times New Roman"/>
          <w:color w:val="000000"/>
          <w:sz w:val="32"/>
          <w:szCs w:val="32"/>
          <w:shd w:val="clear" w:color="auto" w:fill="FFFFFF"/>
        </w:rPr>
        <w:t>同心筑梦庆华诞 砥砺奋进新征程”主题阅读朗诵大赛二等奖等。</w:t>
      </w:r>
      <w:r>
        <w:rPr>
          <w:rFonts w:hint="default" w:ascii="Times New Roman" w:hAnsi="Times New Roman" w:eastAsia="仿宋_GB2312" w:cs="Times New Roman"/>
          <w:sz w:val="32"/>
          <w:szCs w:val="32"/>
        </w:rPr>
        <w:t>坚持“党建引领，群团共建”思路，做好</w:t>
      </w:r>
      <w:r>
        <w:rPr>
          <w:rFonts w:hint="eastAsia" w:ascii="Times New Roman" w:hAnsi="Times New Roman" w:eastAsia="仿宋_GB2312" w:cs="Times New Roman"/>
          <w:sz w:val="32"/>
          <w:szCs w:val="32"/>
          <w:lang w:eastAsia="zh-CN"/>
        </w:rPr>
        <w:t>群团组织改革</w:t>
      </w:r>
      <w:r>
        <w:rPr>
          <w:rFonts w:hint="default" w:ascii="Times New Roman" w:hAnsi="Times New Roman" w:eastAsia="仿宋_GB2312" w:cs="Times New Roman"/>
          <w:sz w:val="32"/>
          <w:szCs w:val="32"/>
        </w:rPr>
        <w:t>设置调整，2024年陆续完成妇委会、团总支、工会的改选和换届工作。</w:t>
      </w:r>
    </w:p>
    <w:p w14:paraId="3878B117">
      <w:pPr>
        <w:keepNext w:val="0"/>
        <w:keepLines w:val="0"/>
        <w:pageBreakBefore w:val="0"/>
        <w:kinsoku/>
        <w:wordWrap/>
        <w:overflowPunct/>
        <w:topLinePunct w:val="0"/>
        <w:autoSpaceDE/>
        <w:autoSpaceDN/>
        <w:bidi w:val="0"/>
        <w:adjustRightInd/>
        <w:snapToGrid/>
        <w:spacing w:after="0" w:line="560" w:lineRule="exact"/>
        <w:ind w:firstLine="643" w:firstLineChars="200"/>
        <w:jc w:val="both"/>
        <w:textAlignment w:val="auto"/>
        <w:rPr>
          <w:rFonts w:hint="eastAsia" w:ascii="Times New Roman" w:hAnsi="Times New Roman" w:eastAsia="楷体" w:cs="Times New Roman"/>
          <w:b/>
          <w:bCs/>
          <w:sz w:val="32"/>
          <w:szCs w:val="32"/>
          <w:lang w:val="en-US" w:eastAsia="zh-CN"/>
        </w:rPr>
      </w:pPr>
      <w:r>
        <w:rPr>
          <w:rFonts w:hint="eastAsia" w:ascii="Times New Roman" w:hAnsi="Times New Roman" w:eastAsia="楷体" w:cs="Times New Roman"/>
          <w:b/>
          <w:bCs/>
          <w:sz w:val="32"/>
          <w:szCs w:val="32"/>
          <w:lang w:val="en-US" w:eastAsia="zh-CN"/>
        </w:rPr>
        <w:t>（二）压实政治责任，充分发挥纪律保障作用</w:t>
      </w:r>
    </w:p>
    <w:p w14:paraId="131C0373">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仿宋_GB2312" w:cs="Times New Roman"/>
          <w:sz w:val="32"/>
          <w:szCs w:val="32"/>
          <w:lang w:val="en-US" w:eastAsia="zh-CN"/>
        </w:rPr>
      </w:pPr>
      <w:r>
        <w:rPr>
          <w:rFonts w:hint="eastAsia" w:ascii="仿宋_GB2312" w:hAnsi="仿宋_GB2312" w:eastAsia="仿宋_GB2312" w:cs="仿宋_GB2312"/>
          <w:b/>
          <w:bCs/>
          <w:sz w:val="32"/>
          <w:szCs w:val="32"/>
          <w:lang w:val="en-US" w:eastAsia="zh-CN"/>
        </w:rPr>
        <w:t>1.压紧压实主体责任。</w:t>
      </w:r>
      <w:r>
        <w:rPr>
          <w:rFonts w:hint="eastAsia" w:ascii="Times New Roman" w:hAnsi="Times New Roman" w:eastAsia="仿宋_GB2312" w:cs="Times New Roman"/>
          <w:sz w:val="32"/>
          <w:szCs w:val="32"/>
          <w:lang w:val="en-US" w:eastAsia="zh-CN"/>
        </w:rPr>
        <w:t>公司党委认真履行落实全面从严治党主体责任，坚持把党风廉政建设纳入公司发展总体布局，同谋划、同部署、同推进、同考核，专题召开党风廉政建设会和全面从严治党专题会议，明晰责任、分解任务。公司党委书记带头履行第一责任人职责，其他班子成员履行“一岗双责”，深入开展谈心谈话、讲廉政党课、推动廉洁文化建设系列活动。</w:t>
      </w:r>
    </w:p>
    <w:p w14:paraId="286CB1A9">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仿宋_GB2312" w:cs="Times New Roman"/>
          <w:sz w:val="32"/>
          <w:szCs w:val="32"/>
          <w:lang w:val="en-US" w:eastAsia="zh-CN"/>
        </w:rPr>
      </w:pPr>
      <w:r>
        <w:rPr>
          <w:rFonts w:hint="eastAsia" w:ascii="仿宋_GB2312" w:hAnsi="仿宋_GB2312" w:eastAsia="仿宋_GB2312" w:cs="仿宋_GB2312"/>
          <w:b/>
          <w:bCs/>
          <w:sz w:val="32"/>
          <w:szCs w:val="32"/>
          <w:lang w:val="en-US" w:eastAsia="zh-CN"/>
        </w:rPr>
        <w:t>2.建立健全监督体系。</w:t>
      </w:r>
      <w:r>
        <w:rPr>
          <w:rFonts w:hint="eastAsia" w:ascii="Times New Roman" w:hAnsi="Times New Roman" w:eastAsia="仿宋_GB2312" w:cs="Times New Roman"/>
          <w:sz w:val="32"/>
          <w:szCs w:val="32"/>
          <w:lang w:val="en-US" w:eastAsia="zh-CN"/>
        </w:rPr>
        <w:t>把健全完善日常监督体系作为公司重点改革事项，调整兼职纪检监察员队伍配置，充实监督力量，完善监督制度机制，改进监督方式，提升廉洁风险防范能力水平。</w:t>
      </w:r>
    </w:p>
    <w:p w14:paraId="64D712F5">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仿宋_GB2312" w:cs="Times New Roman"/>
          <w:sz w:val="32"/>
          <w:szCs w:val="32"/>
          <w:lang w:val="en-US" w:eastAsia="zh-CN"/>
        </w:rPr>
      </w:pPr>
      <w:r>
        <w:rPr>
          <w:rFonts w:hint="eastAsia" w:ascii="仿宋_GB2312" w:hAnsi="仿宋_GB2312" w:eastAsia="仿宋_GB2312" w:cs="仿宋_GB2312"/>
          <w:b/>
          <w:bCs/>
          <w:sz w:val="32"/>
          <w:szCs w:val="32"/>
          <w:lang w:val="en-US" w:eastAsia="zh-CN"/>
        </w:rPr>
        <w:t>3.统筹开展各类专项整治。</w:t>
      </w:r>
      <w:r>
        <w:rPr>
          <w:rFonts w:hint="eastAsia" w:ascii="Times New Roman" w:hAnsi="Times New Roman" w:eastAsia="仿宋_GB2312" w:cs="Times New Roman"/>
          <w:sz w:val="32"/>
          <w:szCs w:val="32"/>
          <w:lang w:val="en-US" w:eastAsia="zh-CN"/>
        </w:rPr>
        <w:t>围绕重点领域、关键环节、“关键少数”，“小切口”式开展专项督查或整治，深入开展工程项目招标投标腐败问题专项整治、违规吃喝专项整治、与职工投资持股企业违规业务往来问题专项整治等各类专项督查或整治8次，发现问题，跟踪整改。</w:t>
      </w:r>
    </w:p>
    <w:p w14:paraId="6AEB8E04">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仿宋_GB2312" w:cs="Times New Roman"/>
          <w:sz w:val="32"/>
          <w:szCs w:val="32"/>
          <w:lang w:val="en-US" w:eastAsia="zh-CN"/>
        </w:rPr>
      </w:pPr>
      <w:r>
        <w:rPr>
          <w:rFonts w:hint="eastAsia" w:ascii="仿宋_GB2312" w:hAnsi="仿宋_GB2312" w:eastAsia="仿宋_GB2312" w:cs="仿宋_GB2312"/>
          <w:b/>
          <w:bCs/>
          <w:sz w:val="32"/>
          <w:szCs w:val="32"/>
          <w:lang w:val="en-US" w:eastAsia="zh-CN"/>
        </w:rPr>
        <w:t>4.推动党纪学习教育常态化长效化。</w:t>
      </w:r>
      <w:r>
        <w:rPr>
          <w:rFonts w:hint="eastAsia" w:ascii="Times New Roman" w:hAnsi="Times New Roman" w:eastAsia="仿宋_GB2312" w:cs="Times New Roman"/>
          <w:sz w:val="32"/>
          <w:szCs w:val="32"/>
          <w:lang w:val="en-US" w:eastAsia="zh-CN"/>
        </w:rPr>
        <w:t>研究制定党纪学习教育工作方案，细化17项重点举措。公司各级党组织通过中心组领学促学、“三会一课”、主题党日、集中学习、专题研讨、讲纪律党课、读书班、个人自学等方式落实党纪学习教育要求，全面系统、联系实际、原原本本、逐字逐句学习新修订的《中国共产党纪律处分条例》。党委会议传达学习3次，举办专题读书班1次。各级党组织集中学习36次，专题研讨29次，党员研讨全覆盖。</w:t>
      </w:r>
    </w:p>
    <w:p w14:paraId="39E14332">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仿宋_GB2312" w:cs="Times New Roman"/>
          <w:sz w:val="32"/>
          <w:szCs w:val="32"/>
          <w:lang w:val="en-US" w:eastAsia="zh-CN"/>
        </w:rPr>
      </w:pPr>
      <w:r>
        <w:rPr>
          <w:rFonts w:hint="eastAsia" w:ascii="仿宋_GB2312" w:hAnsi="仿宋_GB2312" w:eastAsia="仿宋_GB2312" w:cs="仿宋_GB2312"/>
          <w:b/>
          <w:bCs/>
          <w:sz w:val="32"/>
          <w:szCs w:val="32"/>
          <w:lang w:val="en-US" w:eastAsia="zh-CN"/>
        </w:rPr>
        <w:t>5.多形式开展警示教育。</w:t>
      </w:r>
      <w:r>
        <w:rPr>
          <w:rFonts w:hint="eastAsia" w:ascii="Times New Roman" w:hAnsi="Times New Roman" w:eastAsia="仿宋_GB2312" w:cs="Times New Roman"/>
          <w:sz w:val="32"/>
          <w:szCs w:val="32"/>
          <w:lang w:val="en-US" w:eastAsia="zh-CN"/>
        </w:rPr>
        <w:t>讲授纪律党课8人次，观看警示教育片36次，学习典型案例汇编25次；旁听市属国企原领导人员现场庭审，零距离接受警示教育；结合内设机构和所属子公司班子成员调整，对 37名新任职干部开展集体廉洁谈话。正反面教育相结合，组织参观廉政教育基地2次。</w:t>
      </w:r>
    </w:p>
    <w:p w14:paraId="4C451CF1">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sz w:val="32"/>
          <w:szCs w:val="32"/>
          <w:lang w:val="en-US" w:eastAsia="zh-CN"/>
        </w:rPr>
        <w:t>6.</w:t>
      </w:r>
      <w:r>
        <w:rPr>
          <w:rFonts w:hint="default" w:ascii="Times New Roman" w:hAnsi="Times New Roman" w:eastAsia="仿宋_GB2312" w:cs="Times New Roman"/>
          <w:b/>
          <w:bCs/>
          <w:color w:val="000000" w:themeColor="text1"/>
          <w:sz w:val="32"/>
          <w:szCs w:val="32"/>
          <w14:textFill>
            <w14:solidFill>
              <w14:schemeClr w14:val="tx1"/>
            </w14:solidFill>
          </w14:textFill>
        </w:rPr>
        <w:t>坚持用身边典型案例促改促治。</w:t>
      </w:r>
      <w:r>
        <w:rPr>
          <w:rFonts w:hint="default" w:ascii="Times New Roman" w:hAnsi="Times New Roman" w:eastAsia="仿宋_GB2312" w:cs="Times New Roman"/>
          <w:color w:val="000000" w:themeColor="text1"/>
          <w:sz w:val="32"/>
          <w:szCs w:val="32"/>
          <w14:textFill>
            <w14:solidFill>
              <w14:schemeClr w14:val="tx1"/>
            </w14:solidFill>
          </w14:textFill>
        </w:rPr>
        <w:t>围绕刘磊严重违纪违法案件，组织开展“以身边典型案例促改促治”专题警示教育活动，通过观看警示片、组织观看庭审、召开</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案例</w:t>
      </w:r>
      <w:r>
        <w:rPr>
          <w:rFonts w:hint="default" w:ascii="Times New Roman" w:hAnsi="Times New Roman" w:eastAsia="仿宋_GB2312" w:cs="Times New Roman"/>
          <w:color w:val="000000" w:themeColor="text1"/>
          <w:sz w:val="32"/>
          <w:szCs w:val="32"/>
          <w14:textFill>
            <w14:solidFill>
              <w14:schemeClr w14:val="tx1"/>
            </w14:solidFill>
          </w14:textFill>
        </w:rPr>
        <w:t>分析警示大会、组织“纪法讲堂”说纪说法、组织撰写警示文章等方式，充分发挥“身边事”教育“身边人”警示警醒作用。</w:t>
      </w:r>
    </w:p>
    <w:p w14:paraId="31FA3FE9">
      <w:pPr>
        <w:keepNext w:val="0"/>
        <w:keepLines w:val="0"/>
        <w:pageBreakBefore w:val="0"/>
        <w:kinsoku/>
        <w:wordWrap/>
        <w:overflowPunct/>
        <w:topLinePunct w:val="0"/>
        <w:autoSpaceDE/>
        <w:autoSpaceDN/>
        <w:bidi w:val="0"/>
        <w:adjustRightInd/>
        <w:snapToGrid/>
        <w:spacing w:after="0" w:line="560" w:lineRule="exact"/>
        <w:ind w:firstLine="643" w:firstLineChars="200"/>
        <w:jc w:val="both"/>
        <w:textAlignment w:val="auto"/>
        <w:rPr>
          <w:rFonts w:hint="eastAsia" w:ascii="Times New Roman" w:hAnsi="Times New Roman" w:eastAsia="楷体" w:cs="Times New Roman"/>
          <w:b/>
          <w:bCs/>
          <w:sz w:val="32"/>
          <w:szCs w:val="32"/>
          <w:lang w:val="en-US" w:eastAsia="zh-CN"/>
        </w:rPr>
      </w:pPr>
      <w:r>
        <w:rPr>
          <w:rFonts w:hint="eastAsia" w:ascii="Times New Roman" w:hAnsi="Times New Roman" w:eastAsia="楷体" w:cs="Times New Roman"/>
          <w:b/>
          <w:bCs/>
          <w:sz w:val="32"/>
          <w:szCs w:val="32"/>
          <w:lang w:val="en-US" w:eastAsia="zh-CN"/>
        </w:rPr>
        <w:t>（三）深化作风建设，严守中央八项规定精神</w:t>
      </w:r>
    </w:p>
    <w:p w14:paraId="22A5E122">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Times New Roman" w:hAnsi="Times New Roman" w:eastAsia="仿宋_GB2312" w:cs="Times New Roman"/>
          <w:b/>
          <w:bCs/>
          <w:color w:val="000000" w:themeColor="text1"/>
          <w:sz w:val="32"/>
          <w:szCs w:val="32"/>
          <w:lang w:val="en-US" w:eastAsia="zh-CN"/>
          <w14:textFill>
            <w14:solidFill>
              <w14:schemeClr w14:val="tx1"/>
            </w14:solidFill>
          </w14:textFill>
        </w:rPr>
        <w:t>1.</w:t>
      </w:r>
      <w:r>
        <w:rPr>
          <w:rFonts w:hint="eastAsia" w:ascii="Times New Roman" w:hAnsi="Times New Roman" w:eastAsia="仿宋_GB2312" w:cs="Times New Roman"/>
          <w:b/>
          <w:bCs/>
          <w:color w:val="000000" w:themeColor="text1"/>
          <w:sz w:val="32"/>
          <w:szCs w:val="32"/>
          <w14:textFill>
            <w14:solidFill>
              <w14:schemeClr w14:val="tx1"/>
            </w14:solidFill>
          </w14:textFill>
        </w:rPr>
        <w:t>严格执行中央八项规定精神。</w:t>
      </w:r>
      <w:r>
        <w:rPr>
          <w:rFonts w:hint="eastAsia" w:ascii="仿宋_GB2312" w:hAnsi="仿宋_GB2312" w:eastAsia="仿宋_GB2312" w:cs="仿宋_GB2312"/>
          <w:color w:val="000000" w:themeColor="text1"/>
          <w:sz w:val="32"/>
          <w:szCs w:val="32"/>
          <w14:textFill>
            <w14:solidFill>
              <w14:schemeClr w14:val="tx1"/>
            </w14:solidFill>
          </w14:textFill>
        </w:rPr>
        <w:t>多举措抓好作风建设。重大节日前夕，通过组织学习各级纪委通报、印发纪律要求、发送廉洁提醒短信等方式，抓好重要时间节点纪律作风建设。</w:t>
      </w:r>
    </w:p>
    <w:p w14:paraId="4CE98847">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2.开展作风建设督查。</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结合开展违规吃喝专项整治，围绕“三公”经费使用、公务车管理等方面，全年开展专项监督检</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查3次</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p>
    <w:p w14:paraId="2B358781">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3.</w:t>
      </w:r>
      <w:r>
        <w:rPr>
          <w:rFonts w:hint="eastAsia" w:ascii="仿宋_GB2312" w:hAnsi="仿宋_GB2312" w:eastAsia="仿宋_GB2312" w:cs="仿宋_GB2312"/>
          <w:b/>
          <w:bCs/>
          <w:color w:val="000000" w:themeColor="text1"/>
          <w:sz w:val="32"/>
          <w:szCs w:val="32"/>
          <w14:textFill>
            <w14:solidFill>
              <w14:schemeClr w14:val="tx1"/>
            </w14:solidFill>
          </w14:textFill>
        </w:rPr>
        <w:t>严格落实精文减会。</w:t>
      </w:r>
      <w:r>
        <w:rPr>
          <w:rFonts w:hint="eastAsia" w:ascii="仿宋_GB2312" w:hAnsi="仿宋_GB2312" w:eastAsia="仿宋_GB2312" w:cs="仿宋_GB2312"/>
          <w:color w:val="000000" w:themeColor="text1"/>
          <w:sz w:val="32"/>
          <w:szCs w:val="32"/>
          <w14:textFill>
            <w14:solidFill>
              <w14:schemeClr w14:val="tx1"/>
            </w14:solidFill>
          </w14:textFill>
        </w:rPr>
        <w:t>严格落实《整治形式主义为基层减负若干规定》，统筹召开党委会议、总经理办公会、中心组学习会等各类会议，严格按照制发文件与为基层减负一致性评估要求精简文件。</w:t>
      </w:r>
    </w:p>
    <w:p w14:paraId="07C79F0A">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仿宋_GB2312" w:cs="Times New Roman"/>
          <w:color w:val="FF0000"/>
          <w:sz w:val="32"/>
          <w:szCs w:val="32"/>
          <w:highlight w:val="none"/>
          <w:lang w:val="en-US" w:eastAsia="zh-CN"/>
        </w:rPr>
      </w:pPr>
      <w:r>
        <w:rPr>
          <w:rFonts w:hint="eastAsia" w:ascii="仿宋_GB2312" w:hAnsi="仿宋_GB2312" w:eastAsia="仿宋_GB2312" w:cs="仿宋_GB2312"/>
          <w:b/>
          <w:bCs/>
          <w:color w:val="000000" w:themeColor="text1"/>
          <w:sz w:val="32"/>
          <w:szCs w:val="32"/>
          <w:highlight w:val="none"/>
          <w:lang w:val="en-US" w:eastAsia="zh-CN"/>
          <w14:textFill>
            <w14:solidFill>
              <w14:schemeClr w14:val="tx1"/>
            </w14:solidFill>
          </w14:textFill>
        </w:rPr>
        <w:t>4.着力解决群众诉求。</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出台落实“民声呼应”工作的若干举措，全年办理信访件4件、“民呼快应”3件、政风行风热线1件、</w:t>
      </w:r>
      <w:r>
        <w:rPr>
          <w:rFonts w:hint="default" w:ascii="仿宋_GB2312" w:hAnsi="仿宋_GB2312" w:eastAsia="仿宋_GB2312" w:cs="仿宋_GB2312"/>
          <w:color w:val="000000" w:themeColor="text1"/>
          <w:sz w:val="32"/>
          <w:szCs w:val="32"/>
          <w:highlight w:val="none"/>
          <w:lang w:val="en-US" w:eastAsia="zh-CN"/>
          <w14:textFill>
            <w14:solidFill>
              <w14:schemeClr w14:val="tx1"/>
            </w14:solidFill>
          </w14:textFill>
        </w:rPr>
        <w:t>123</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45市长热线群众反映诉求520件，办结率100% 。</w:t>
      </w:r>
    </w:p>
    <w:p w14:paraId="17F15459">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黑体" w:hAnsi="黑体" w:eastAsia="黑体"/>
          <w:sz w:val="32"/>
          <w:szCs w:val="32"/>
          <w:lang w:val="en-US" w:eastAsia="zh-CN"/>
        </w:rPr>
      </w:pPr>
      <w:r>
        <w:rPr>
          <w:rFonts w:ascii="黑体" w:hAnsi="黑体" w:eastAsia="黑体"/>
          <w:sz w:val="32"/>
          <w:szCs w:val="32"/>
        </w:rPr>
        <w:t>三、</w:t>
      </w:r>
      <w:r>
        <w:rPr>
          <w:rFonts w:hint="eastAsia" w:ascii="黑体" w:hAnsi="黑体" w:eastAsia="黑体"/>
          <w:sz w:val="32"/>
          <w:szCs w:val="32"/>
          <w:lang w:val="en-US" w:eastAsia="zh-CN"/>
        </w:rPr>
        <w:t>履行职责使命</w:t>
      </w:r>
      <w:r>
        <w:rPr>
          <w:rFonts w:ascii="黑体" w:hAnsi="黑体" w:eastAsia="黑体"/>
          <w:sz w:val="32"/>
          <w:szCs w:val="32"/>
        </w:rPr>
        <w:t>，</w:t>
      </w:r>
      <w:r>
        <w:rPr>
          <w:rFonts w:hint="eastAsia" w:ascii="黑体" w:hAnsi="黑体" w:eastAsia="黑体"/>
          <w:sz w:val="32"/>
          <w:szCs w:val="32"/>
          <w:lang w:val="en-US" w:eastAsia="zh-CN"/>
        </w:rPr>
        <w:t>服务城市建设发展</w:t>
      </w:r>
    </w:p>
    <w:p w14:paraId="57AE1A1A">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sz w:val="32"/>
          <w:szCs w:val="32"/>
          <w:highlight w:val="none"/>
        </w:rPr>
      </w:pPr>
      <w:r>
        <w:rPr>
          <w:rFonts w:ascii="Times New Roman" w:hAnsi="Times New Roman" w:eastAsia="仿宋_GB2312"/>
          <w:sz w:val="32"/>
          <w:szCs w:val="32"/>
        </w:rPr>
        <w:t>城投公司认真做好</w:t>
      </w:r>
      <w:r>
        <w:rPr>
          <w:rFonts w:hint="eastAsia" w:ascii="Times New Roman" w:hAnsi="Times New Roman" w:eastAsia="仿宋_GB2312"/>
          <w:sz w:val="32"/>
          <w:szCs w:val="32"/>
          <w:lang w:val="en-US" w:eastAsia="zh-CN"/>
        </w:rPr>
        <w:t>融资支付、</w:t>
      </w:r>
      <w:r>
        <w:rPr>
          <w:rFonts w:ascii="Times New Roman" w:hAnsi="Times New Roman" w:eastAsia="仿宋_GB2312"/>
          <w:sz w:val="32"/>
          <w:szCs w:val="32"/>
        </w:rPr>
        <w:t>道路交通投资、水务砂石投资、</w:t>
      </w:r>
      <w:r>
        <w:rPr>
          <w:rFonts w:hint="eastAsia" w:ascii="Times New Roman" w:hAnsi="Times New Roman" w:eastAsia="仿宋_GB2312"/>
          <w:sz w:val="32"/>
          <w:szCs w:val="32"/>
          <w:lang w:val="en-US" w:eastAsia="zh-CN"/>
        </w:rPr>
        <w:t>国有资产</w:t>
      </w:r>
      <w:r>
        <w:rPr>
          <w:rFonts w:ascii="Times New Roman" w:hAnsi="Times New Roman" w:eastAsia="仿宋_GB2312"/>
          <w:sz w:val="32"/>
          <w:szCs w:val="32"/>
        </w:rPr>
        <w:t>运营管理、陵园开发建设</w:t>
      </w:r>
      <w:r>
        <w:rPr>
          <w:rFonts w:hint="eastAsia" w:ascii="Times New Roman" w:hAnsi="Times New Roman" w:eastAsia="仿宋_GB2312"/>
          <w:sz w:val="32"/>
          <w:szCs w:val="32"/>
        </w:rPr>
        <w:t>、类金融</w:t>
      </w:r>
      <w:r>
        <w:rPr>
          <w:rFonts w:hint="eastAsia" w:ascii="Times New Roman" w:hAnsi="Times New Roman" w:eastAsia="仿宋_GB2312"/>
          <w:sz w:val="32"/>
          <w:szCs w:val="32"/>
          <w:lang w:eastAsia="zh-CN"/>
        </w:rPr>
        <w:t>、</w:t>
      </w:r>
      <w:r>
        <w:rPr>
          <w:rFonts w:hint="eastAsia" w:ascii="Times New Roman" w:hAnsi="Times New Roman" w:eastAsia="仿宋_GB2312" w:cs="Times New Roman"/>
          <w:color w:val="000000" w:themeColor="text1"/>
          <w:sz w:val="32"/>
          <w:szCs w:val="32"/>
          <w14:textFill>
            <w14:solidFill>
              <w14:schemeClr w14:val="tx1"/>
            </w14:solidFill>
          </w14:textFill>
        </w:rPr>
        <w:t>医废处置、审图</w:t>
      </w:r>
      <w:r>
        <w:rPr>
          <w:rFonts w:ascii="Times New Roman" w:hAnsi="Times New Roman" w:eastAsia="仿宋_GB2312"/>
          <w:sz w:val="32"/>
          <w:szCs w:val="32"/>
        </w:rPr>
        <w:t>等经营业务，</w:t>
      </w:r>
      <w:r>
        <w:rPr>
          <w:rFonts w:hint="eastAsia" w:ascii="Times New Roman" w:hAnsi="Times New Roman" w:eastAsia="仿宋_GB2312"/>
          <w:sz w:val="32"/>
          <w:szCs w:val="32"/>
          <w:lang w:val="en-US" w:eastAsia="zh-CN"/>
        </w:rPr>
        <w:t>积极落实市委、市政府、市国资委各项决策部署，扎实推进各项工作，服务城市建设发展，彰显国企担当</w:t>
      </w:r>
      <w:r>
        <w:rPr>
          <w:rFonts w:ascii="Times New Roman" w:hAnsi="Times New Roman" w:eastAsia="仿宋_GB2312"/>
          <w:sz w:val="32"/>
          <w:szCs w:val="32"/>
          <w:highlight w:val="none"/>
        </w:rPr>
        <w:t>。</w:t>
      </w:r>
    </w:p>
    <w:p w14:paraId="14DFF4ED">
      <w:pPr>
        <w:keepNext w:val="0"/>
        <w:keepLines w:val="0"/>
        <w:pageBreakBefore w:val="0"/>
        <w:widowControl w:val="0"/>
        <w:suppressLineNumbers w:val="0"/>
        <w:suppressAutoHyphens w:val="0"/>
        <w:kinsoku/>
        <w:wordWrap/>
        <w:overflowPunct/>
        <w:topLinePunct w:val="0"/>
        <w:autoSpaceDE/>
        <w:autoSpaceDN/>
        <w:spacing w:after="0" w:line="560" w:lineRule="exact"/>
        <w:ind w:left="0" w:firstLine="643" w:firstLineChars="200"/>
        <w:rPr>
          <w:rFonts w:hint="eastAsia" w:ascii="Times New Roman" w:hAnsi="Times New Roman" w:eastAsia="仿宋_GB2312" w:cs="Times New Roman"/>
          <w:bCs/>
          <w:color w:val="auto"/>
          <w:kern w:val="2"/>
          <w:sz w:val="32"/>
          <w:szCs w:val="32"/>
          <w:lang w:bidi="ar-SA"/>
        </w:rPr>
      </w:pPr>
      <w:r>
        <w:rPr>
          <w:rFonts w:hint="eastAsia" w:ascii="Times New Roman" w:hAnsi="Times New Roman" w:eastAsia="仿宋_GB2312" w:cs="Times New Roman"/>
          <w:b/>
          <w:bCs/>
          <w:kern w:val="2"/>
          <w:sz w:val="32"/>
          <w:szCs w:val="32"/>
          <w:lang w:val="en-US" w:eastAsia="zh-CN" w:bidi="ar-SA"/>
        </w:rPr>
        <w:t>1.融资支付保障有力。</w:t>
      </w:r>
      <w:r>
        <w:rPr>
          <w:rFonts w:hint="eastAsia" w:ascii="仿宋_GB2312" w:eastAsia="仿宋_GB2312"/>
          <w:bCs/>
          <w:color w:val="auto"/>
          <w:kern w:val="2"/>
          <w:sz w:val="32"/>
          <w:szCs w:val="32"/>
        </w:rPr>
        <w:t>加强与各金融机构对接，进一步拓宽融资渠道、降低融资成本。截至2024年12月底，融资到位126.17亿元，存量债务融资成本4.1%，较2023年末4.37%减少了27BP，期间未发生一起债务逾期。科学分配资金额度，截至2024年12月底，累计完成支付176.96亿元，其中：政府性投资项目支付13.52亿元，还本付息支付162.16亿。保障保交楼项目资金支出1.28亿元。</w:t>
      </w:r>
    </w:p>
    <w:p w14:paraId="3D2C558A">
      <w:pPr>
        <w:keepNext w:val="0"/>
        <w:keepLines w:val="0"/>
        <w:pageBreakBefore w:val="0"/>
        <w:widowControl w:val="0"/>
        <w:suppressLineNumbers w:val="0"/>
        <w:suppressAutoHyphens w:val="0"/>
        <w:kinsoku/>
        <w:wordWrap/>
        <w:overflowPunct/>
        <w:topLinePunct w:val="0"/>
        <w:autoSpaceDE/>
        <w:autoSpaceDN/>
        <w:spacing w:after="0" w:line="560" w:lineRule="exact"/>
        <w:ind w:left="0" w:firstLine="643" w:firstLineChars="200"/>
        <w:rPr>
          <w:rFonts w:hint="eastAsia" w:ascii="仿宋_GB2312" w:eastAsia="仿宋_GB2312"/>
          <w:kern w:val="2"/>
          <w:sz w:val="32"/>
          <w:szCs w:val="32"/>
        </w:rPr>
      </w:pPr>
      <w:r>
        <w:rPr>
          <w:rFonts w:hint="eastAsia" w:ascii="Times New Roman" w:hAnsi="Times New Roman" w:eastAsia="仿宋_GB2312" w:cs="Times New Roman"/>
          <w:b/>
          <w:bCs/>
          <w:kern w:val="2"/>
          <w:sz w:val="32"/>
          <w:szCs w:val="32"/>
          <w:lang w:val="en-US" w:eastAsia="zh-CN" w:bidi="ar-SA"/>
        </w:rPr>
        <w:t>2.实体经营稳步发展。</w:t>
      </w:r>
      <w:r>
        <w:rPr>
          <w:rFonts w:hint="eastAsia" w:ascii="仿宋_GB2312" w:eastAsia="仿宋_GB2312"/>
          <w:kern w:val="2"/>
          <w:sz w:val="32"/>
          <w:szCs w:val="32"/>
        </w:rPr>
        <w:t>实现经营收入4.96亿元，较上年同期（2.73亿）增长81.68%（含营业收入4.22亿元、投资收益0.3亿元、百洋铺收费站全额上缴财政0.44亿元）；利润总额0.54亿元（按照国资委考核口径预计）；2024年</w:t>
      </w:r>
      <w:r>
        <w:rPr>
          <w:rFonts w:hint="eastAsia" w:ascii="仿宋_GB2312" w:eastAsia="仿宋_GB2312"/>
          <w:kern w:val="2"/>
          <w:sz w:val="32"/>
          <w:szCs w:val="32"/>
          <w:lang w:eastAsia="zh-CN"/>
        </w:rPr>
        <w:t>上缴</w:t>
      </w:r>
      <w:r>
        <w:rPr>
          <w:rFonts w:hint="eastAsia" w:ascii="仿宋_GB2312" w:eastAsia="仿宋_GB2312"/>
          <w:kern w:val="2"/>
          <w:sz w:val="32"/>
          <w:szCs w:val="32"/>
        </w:rPr>
        <w:t>国有资本预算0.58亿元，上缴各项税费0.72亿元。</w:t>
      </w:r>
    </w:p>
    <w:p w14:paraId="400C0B51">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 w:eastAsia="仿宋" w:cs="Times New Roman"/>
          <w:color w:val="auto"/>
          <w:spacing w:val="0"/>
          <w:kern w:val="2"/>
          <w:sz w:val="32"/>
          <w:szCs w:val="32"/>
          <w:shd w:val="clear" w:color="auto" w:fill="FFFFFF"/>
          <w:lang w:val="en-US" w:eastAsia="zh-CN"/>
        </w:rPr>
      </w:pPr>
      <w:r>
        <w:rPr>
          <w:rFonts w:hint="eastAsia" w:ascii="Times New Roman" w:hAnsi="Times New Roman" w:eastAsia="仿宋_GB2312" w:cs="Times New Roman"/>
          <w:b/>
          <w:bCs/>
          <w:kern w:val="2"/>
          <w:sz w:val="32"/>
          <w:szCs w:val="32"/>
          <w:lang w:val="en-US" w:eastAsia="zh-CN" w:bidi="ar-SA"/>
        </w:rPr>
        <w:t>3.重点项目建设有序推进。</w:t>
      </w:r>
      <w:r>
        <w:rPr>
          <w:rFonts w:hint="eastAsia" w:ascii="仿宋" w:eastAsia="仿宋" w:cs="Times New Roman"/>
          <w:color w:val="auto"/>
          <w:spacing w:val="0"/>
          <w:kern w:val="2"/>
          <w:sz w:val="32"/>
          <w:szCs w:val="32"/>
          <w:shd w:val="clear" w:color="auto" w:fill="FFFFFF"/>
        </w:rPr>
        <w:t>一体推进长三角物流园建设运营工作。建设方面：项目自2023年11月14日开工建设，2024年完成产值3.88亿元。1#-10#楼主体已封顶，12月底完成所有单体主体工程的90%。运营方面：先后赴上海、合肥等地拜访40多家企业，开展外出招商70余次，签订意向协议2家，出租面积2.6万㎡，另储备意向客户9家，意向租赁面积约4万㎡。聘请普洛斯企业发展</w:t>
      </w:r>
      <w:r>
        <w:rPr>
          <w:rFonts w:hint="eastAsia" w:ascii="仿宋" w:eastAsia="仿宋" w:cs="Times New Roman"/>
          <w:color w:val="auto"/>
          <w:spacing w:val="0"/>
          <w:kern w:val="2"/>
          <w:sz w:val="32"/>
          <w:szCs w:val="32"/>
          <w:shd w:val="clear" w:color="auto" w:fill="FFFFFF"/>
          <w:lang w:eastAsia="zh-CN"/>
        </w:rPr>
        <w:t>（</w:t>
      </w:r>
      <w:r>
        <w:rPr>
          <w:rFonts w:hint="eastAsia" w:ascii="仿宋" w:eastAsia="仿宋" w:cs="Times New Roman"/>
          <w:color w:val="auto"/>
          <w:spacing w:val="0"/>
          <w:kern w:val="2"/>
          <w:sz w:val="32"/>
          <w:szCs w:val="32"/>
          <w:shd w:val="clear" w:color="auto" w:fill="FFFFFF"/>
        </w:rPr>
        <w:t>上海</w:t>
      </w:r>
      <w:r>
        <w:rPr>
          <w:rFonts w:hint="eastAsia" w:ascii="仿宋" w:eastAsia="仿宋" w:cs="Times New Roman"/>
          <w:color w:val="auto"/>
          <w:spacing w:val="0"/>
          <w:kern w:val="2"/>
          <w:sz w:val="32"/>
          <w:szCs w:val="32"/>
          <w:shd w:val="clear" w:color="auto" w:fill="FFFFFF"/>
          <w:lang w:eastAsia="zh-CN"/>
        </w:rPr>
        <w:t>）</w:t>
      </w:r>
      <w:r>
        <w:rPr>
          <w:rFonts w:hint="eastAsia" w:ascii="仿宋" w:eastAsia="仿宋" w:cs="Times New Roman"/>
          <w:color w:val="auto"/>
          <w:spacing w:val="0"/>
          <w:kern w:val="2"/>
          <w:sz w:val="32"/>
          <w:szCs w:val="32"/>
          <w:shd w:val="clear" w:color="auto" w:fill="FFFFFF"/>
        </w:rPr>
        <w:t>有限公司作为园区综合运营服务商，全面负责园区后续招商运营工作。布局城区“停车+充电”一张网建设。搭建全市充停一体化管理运营平台，已建成12处点位560根充电桩均投入使用，为广大市民新能源汽车充电提供有力保障。</w:t>
      </w:r>
    </w:p>
    <w:p w14:paraId="126D15E8">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b/>
          <w:bCs/>
          <w:kern w:val="2"/>
          <w:sz w:val="32"/>
          <w:szCs w:val="32"/>
          <w:lang w:val="en-US" w:eastAsia="zh-CN" w:bidi="ar-SA"/>
        </w:rPr>
        <w:t>4.新业务板块不断拓展。</w:t>
      </w:r>
      <w:r>
        <w:rPr>
          <w:rFonts w:hint="eastAsia" w:ascii="Times New Roman" w:hAnsi="Times New Roman" w:eastAsia="仿宋_GB2312" w:cs="Times New Roman"/>
          <w:sz w:val="32"/>
          <w:szCs w:val="32"/>
          <w:lang w:val="en-US" w:eastAsia="zh-CN"/>
        </w:rPr>
        <w:t>立足原有产业布局，</w:t>
      </w:r>
      <w:r>
        <w:rPr>
          <w:rFonts w:hint="eastAsia" w:ascii="仿宋" w:eastAsia="仿宋" w:cs="Times New Roman"/>
          <w:color w:val="auto"/>
          <w:spacing w:val="0"/>
          <w:kern w:val="2"/>
          <w:sz w:val="32"/>
          <w:szCs w:val="32"/>
          <w:shd w:val="clear" w:color="auto" w:fill="FFFFFF"/>
          <w:lang w:val="en-US" w:eastAsia="zh-CN"/>
        </w:rPr>
        <w:t>积极</w:t>
      </w:r>
      <w:r>
        <w:rPr>
          <w:rFonts w:hint="eastAsia" w:ascii="仿宋" w:eastAsia="仿宋" w:cs="Times New Roman"/>
          <w:color w:val="auto"/>
          <w:spacing w:val="0"/>
          <w:kern w:val="2"/>
          <w:sz w:val="32"/>
          <w:szCs w:val="32"/>
          <w:shd w:val="clear" w:color="auto" w:fill="FFFFFF"/>
        </w:rPr>
        <w:t>拓展</w:t>
      </w:r>
      <w:r>
        <w:rPr>
          <w:rFonts w:hint="eastAsia" w:ascii="仿宋" w:eastAsia="仿宋" w:cs="Times New Roman"/>
          <w:color w:val="auto"/>
          <w:spacing w:val="0"/>
          <w:kern w:val="2"/>
          <w:sz w:val="32"/>
          <w:szCs w:val="32"/>
          <w:shd w:val="clear" w:color="auto" w:fill="FFFFFF"/>
          <w:lang w:val="en-US" w:eastAsia="zh-CN"/>
        </w:rPr>
        <w:t>医废处置、审图业务、</w:t>
      </w:r>
      <w:r>
        <w:rPr>
          <w:rFonts w:hint="eastAsia" w:ascii="仿宋" w:eastAsia="仿宋" w:cs="Times New Roman"/>
          <w:color w:val="auto"/>
          <w:spacing w:val="0"/>
          <w:kern w:val="2"/>
          <w:sz w:val="32"/>
          <w:szCs w:val="32"/>
          <w:shd w:val="clear" w:color="auto" w:fill="FFFFFF"/>
          <w:lang w:val="zh-CN" w:eastAsia="zh-CN"/>
        </w:rPr>
        <w:t>矿产贸易、智慧城市、充电桩、</w:t>
      </w:r>
      <w:r>
        <w:rPr>
          <w:rFonts w:hint="eastAsia" w:ascii="仿宋" w:eastAsia="仿宋" w:cs="Times New Roman"/>
          <w:color w:val="auto"/>
          <w:spacing w:val="0"/>
          <w:kern w:val="2"/>
          <w:sz w:val="32"/>
          <w:szCs w:val="32"/>
          <w:shd w:val="clear" w:color="auto" w:fill="FFFFFF"/>
          <w:lang w:val="en-US" w:eastAsia="zh-CN"/>
        </w:rPr>
        <w:t>光伏储能项目、长三角一体化物流运营</w:t>
      </w:r>
      <w:r>
        <w:rPr>
          <w:rFonts w:hint="eastAsia" w:ascii="仿宋" w:eastAsia="仿宋" w:cs="Times New Roman"/>
          <w:color w:val="auto"/>
          <w:spacing w:val="0"/>
          <w:kern w:val="2"/>
          <w:sz w:val="32"/>
          <w:szCs w:val="32"/>
          <w:shd w:val="clear" w:color="auto" w:fill="FFFFFF"/>
          <w:lang w:val="zh-CN" w:eastAsia="zh-CN"/>
        </w:rPr>
        <w:t>等</w:t>
      </w:r>
      <w:r>
        <w:rPr>
          <w:rFonts w:hint="eastAsia" w:ascii="仿宋" w:eastAsia="仿宋" w:cs="Times New Roman"/>
          <w:color w:val="auto"/>
          <w:spacing w:val="0"/>
          <w:kern w:val="2"/>
          <w:sz w:val="32"/>
          <w:szCs w:val="32"/>
          <w:shd w:val="clear" w:color="auto" w:fill="FFFFFF"/>
          <w:lang w:val="en-US" w:eastAsia="zh-CN"/>
        </w:rPr>
        <w:t>新的</w:t>
      </w:r>
      <w:r>
        <w:rPr>
          <w:rFonts w:hint="eastAsia" w:ascii="仿宋" w:eastAsia="仿宋" w:cs="Times New Roman"/>
          <w:color w:val="auto"/>
          <w:spacing w:val="0"/>
          <w:kern w:val="2"/>
          <w:sz w:val="32"/>
          <w:szCs w:val="32"/>
          <w:shd w:val="clear" w:color="auto" w:fill="FFFFFF"/>
          <w:lang w:val="zh-CN" w:eastAsia="zh-CN"/>
        </w:rPr>
        <w:t>业务</w:t>
      </w:r>
      <w:r>
        <w:rPr>
          <w:rFonts w:hint="eastAsia" w:ascii="仿宋" w:eastAsia="仿宋" w:cs="Times New Roman"/>
          <w:color w:val="auto"/>
          <w:spacing w:val="0"/>
          <w:kern w:val="2"/>
          <w:sz w:val="32"/>
          <w:szCs w:val="32"/>
          <w:shd w:val="clear" w:color="auto" w:fill="FFFFFF"/>
          <w:lang w:val="en-US" w:eastAsia="zh-CN"/>
        </w:rPr>
        <w:t>板块</w:t>
      </w:r>
      <w:r>
        <w:rPr>
          <w:rFonts w:hint="eastAsia" w:ascii="仿宋" w:eastAsia="仿宋" w:cs="Times New Roman"/>
          <w:color w:val="auto"/>
          <w:spacing w:val="0"/>
          <w:kern w:val="2"/>
          <w:sz w:val="32"/>
          <w:szCs w:val="32"/>
          <w:shd w:val="clear" w:color="auto" w:fill="FFFFFF"/>
        </w:rPr>
        <w:t>。</w:t>
      </w:r>
      <w:r>
        <w:rPr>
          <w:rFonts w:hint="eastAsia" w:ascii="仿宋" w:eastAsia="仿宋" w:cs="Times New Roman"/>
          <w:color w:val="auto"/>
          <w:spacing w:val="0"/>
          <w:kern w:val="2"/>
          <w:sz w:val="32"/>
          <w:szCs w:val="32"/>
          <w:shd w:val="clear" w:color="auto" w:fill="FFFFFF"/>
          <w:lang w:val="en-US" w:eastAsia="zh-CN"/>
        </w:rPr>
        <w:t>成立新能源智</w:t>
      </w:r>
      <w:r>
        <w:rPr>
          <w:rFonts w:hint="eastAsia" w:ascii="Times New Roman" w:hAnsi="Times New Roman" w:eastAsia="仿宋_GB2312" w:cs="Times New Roman"/>
          <w:sz w:val="32"/>
          <w:szCs w:val="32"/>
          <w:lang w:val="en-US" w:eastAsia="zh-CN"/>
        </w:rPr>
        <w:t>慧停车公司，积极开展新能源汽车充电服务、城市泊车服务。水投公司与六安钢铁集团开展矿产资源贸易业务，矿产贸易采购合同已签13笔，累计贸易支付金额为7248.58万元，累计回款金额887.4万元。</w:t>
      </w:r>
    </w:p>
    <w:p w14:paraId="61BA931C">
      <w:pPr>
        <w:pStyle w:val="2"/>
        <w:keepNext w:val="0"/>
        <w:keepLines w:val="0"/>
        <w:pageBreakBefore w:val="0"/>
        <w:widowControl w:val="0"/>
        <w:kinsoku/>
        <w:wordWrap/>
        <w:overflowPunct/>
        <w:topLinePunct w:val="0"/>
        <w:autoSpaceDE/>
        <w:autoSpaceDN/>
        <w:bidi w:val="0"/>
        <w:adjustRightInd/>
        <w:snapToGrid/>
        <w:spacing w:after="0" w:line="560" w:lineRule="exact"/>
        <w:ind w:firstLine="643" w:firstLineChars="200"/>
        <w:textAlignment w:val="auto"/>
        <w:rPr>
          <w:rFonts w:hint="eastAsia" w:ascii="仿宋" w:hAnsi="Calibri" w:eastAsia="仿宋" w:cs="Times New Roman"/>
          <w:color w:val="auto"/>
          <w:spacing w:val="0"/>
          <w:kern w:val="2"/>
          <w:sz w:val="32"/>
          <w:szCs w:val="32"/>
          <w:shd w:val="clear" w:color="auto" w:fill="FFFFFF"/>
          <w:lang w:val="en-US" w:eastAsia="zh-CN" w:bidi="ar-SA"/>
        </w:rPr>
      </w:pPr>
      <w:r>
        <w:rPr>
          <w:rFonts w:hint="eastAsia" w:ascii="Times New Roman" w:hAnsi="Times New Roman" w:eastAsia="仿宋_GB2312" w:cs="Times New Roman"/>
          <w:b/>
          <w:bCs/>
          <w:kern w:val="2"/>
          <w:sz w:val="32"/>
          <w:szCs w:val="32"/>
          <w:lang w:val="en-US" w:eastAsia="zh-CN" w:bidi="ar-SA"/>
        </w:rPr>
        <w:t>5.国有资产运营成效显著。</w:t>
      </w:r>
      <w:r>
        <w:rPr>
          <w:rFonts w:hint="eastAsia" w:ascii="仿宋_GB2312" w:hAnsi="Calibri" w:eastAsia="仿宋_GB2312" w:cs="Times New Roman"/>
          <w:color w:val="auto"/>
          <w:kern w:val="2"/>
          <w:sz w:val="32"/>
          <w:szCs w:val="32"/>
          <w:lang w:val="en-US" w:eastAsia="zh-CN" w:bidi="ar-SA"/>
        </w:rPr>
        <w:t>存量资产盘活措施有力，市国资公司探索新型租售模式，开展“百日劳动竞赛”活动，</w:t>
      </w:r>
      <w:r>
        <w:rPr>
          <w:rFonts w:hint="eastAsia" w:ascii="仿宋" w:hAnsi="Calibri" w:eastAsia="仿宋" w:cs="Times New Roman"/>
          <w:color w:val="auto"/>
          <w:spacing w:val="0"/>
          <w:kern w:val="2"/>
          <w:sz w:val="32"/>
          <w:szCs w:val="32"/>
          <w:shd w:val="clear" w:color="auto" w:fill="FFFFFF"/>
          <w:lang w:val="en-US" w:eastAsia="zh-CN" w:bidi="ar-SA"/>
        </w:rPr>
        <w:t>期间实现营收6736.43万元（活动营收目标3770万元），完成率达178.69%；开拓品牌化运营新路径，通过采取委托运营、探索居间服务等新发展途径不断提升国有资产经营水平，</w:t>
      </w:r>
      <w:r>
        <w:rPr>
          <w:rFonts w:hint="default" w:ascii="仿宋" w:hAnsi="Calibri" w:eastAsia="仿宋" w:cs="Times New Roman"/>
          <w:color w:val="auto"/>
          <w:spacing w:val="0"/>
          <w:kern w:val="2"/>
          <w:sz w:val="32"/>
          <w:szCs w:val="32"/>
          <w:shd w:val="clear" w:color="auto" w:fill="FFFFFF"/>
          <w:lang w:val="en-US" w:eastAsia="zh-CN" w:bidi="ar-SA"/>
        </w:rPr>
        <w:t>国有资产</w:t>
      </w:r>
      <w:r>
        <w:rPr>
          <w:rFonts w:hint="eastAsia" w:ascii="仿宋" w:hAnsi="Calibri" w:eastAsia="仿宋" w:cs="Times New Roman"/>
          <w:color w:val="auto"/>
          <w:spacing w:val="0"/>
          <w:kern w:val="2"/>
          <w:sz w:val="32"/>
          <w:szCs w:val="32"/>
          <w:shd w:val="clear" w:color="auto" w:fill="FFFFFF"/>
          <w:lang w:val="en-US" w:eastAsia="zh-CN" w:bidi="ar-SA"/>
        </w:rPr>
        <w:t>经营收入31580.29 万元（含委托运营收入4923万元），同比增长214.23%。</w:t>
      </w:r>
    </w:p>
    <w:p w14:paraId="4BEB2039">
      <w:pPr>
        <w:keepNext w:val="0"/>
        <w:keepLines w:val="0"/>
        <w:pageBreakBefore w:val="0"/>
        <w:widowControl w:val="0"/>
        <w:suppressLineNumbers w:val="0"/>
        <w:suppressAutoHyphens w:val="0"/>
        <w:kinsoku/>
        <w:wordWrap/>
        <w:overflowPunct/>
        <w:topLinePunct w:val="0"/>
        <w:autoSpaceDE/>
        <w:autoSpaceDN/>
        <w:bidi w:val="0"/>
        <w:adjustRightInd/>
        <w:snapToGrid/>
        <w:spacing w:line="560" w:lineRule="exact"/>
        <w:ind w:left="0" w:firstLine="643" w:firstLineChars="200"/>
        <w:textAlignment w:val="auto"/>
        <w:rPr>
          <w:rFonts w:hint="eastAsia" w:ascii="仿宋_GB2312" w:eastAsia="仿宋_GB2312"/>
          <w:color w:val="auto"/>
          <w:kern w:val="2"/>
          <w:sz w:val="32"/>
          <w:szCs w:val="32"/>
        </w:rPr>
      </w:pPr>
      <w:r>
        <w:rPr>
          <w:rFonts w:hint="eastAsia" w:ascii="Times New Roman" w:hAnsi="Times New Roman" w:eastAsia="仿宋_GB2312" w:cs="Times New Roman"/>
          <w:b/>
          <w:bCs/>
          <w:kern w:val="2"/>
          <w:sz w:val="32"/>
          <w:szCs w:val="32"/>
          <w:lang w:val="en-US" w:eastAsia="zh-CN" w:bidi="ar-SA"/>
        </w:rPr>
        <w:t>6.积极承担保交楼任务。</w:t>
      </w:r>
      <w:r>
        <w:rPr>
          <w:rFonts w:hint="eastAsia" w:ascii="仿宋_GB2312" w:eastAsia="仿宋_GB2312"/>
          <w:color w:val="auto"/>
          <w:kern w:val="2"/>
          <w:sz w:val="32"/>
          <w:szCs w:val="32"/>
        </w:rPr>
        <w:t>2024年7月起，全面接手“保交房”恒大珺庭四期项目建设任务。成立保交楼专项工作小组，全面加强组织保障，10月29日</w:t>
      </w:r>
      <w:r>
        <w:rPr>
          <w:rFonts w:hint="eastAsia" w:ascii="仿宋_GB2312" w:eastAsia="仿宋_GB2312"/>
          <w:kern w:val="2"/>
          <w:sz w:val="32"/>
          <w:szCs w:val="32"/>
        </w:rPr>
        <w:t>正式进场开工。同步推进项目营销、建设资金筹措和接收恒大项目存量资产的分析与盘活等工作，在完成</w:t>
      </w:r>
      <w:r>
        <w:rPr>
          <w:rFonts w:hint="eastAsia" w:ascii="仿宋_GB2312" w:eastAsia="仿宋_GB2312"/>
          <w:color w:val="auto"/>
          <w:kern w:val="2"/>
          <w:sz w:val="32"/>
          <w:szCs w:val="32"/>
        </w:rPr>
        <w:t>“保交楼、稳民生”工作任务的同时，实现项目收益最大化。</w:t>
      </w:r>
    </w:p>
    <w:p w14:paraId="12FE513D">
      <w:pPr>
        <w:pStyle w:val="5"/>
        <w:keepNext w:val="0"/>
        <w:keepLines w:val="0"/>
        <w:pageBreakBefore w:val="0"/>
        <w:kinsoku/>
        <w:wordWrap/>
        <w:overflowPunct/>
        <w:topLinePunct w:val="0"/>
        <w:autoSpaceDE/>
        <w:autoSpaceDN/>
        <w:bidi w:val="0"/>
        <w:adjustRightInd/>
        <w:snapToGrid/>
        <w:spacing w:before="0" w:beforeAutospacing="0" w:after="0" w:line="560" w:lineRule="exact"/>
        <w:ind w:left="0" w:leftChars="0" w:firstLine="640" w:firstLineChars="200"/>
        <w:textAlignment w:val="auto"/>
        <w:rPr>
          <w:rFonts w:hint="default" w:ascii="Times New Roman" w:hAnsi="Times New Roman" w:eastAsia="黑体" w:cs="Times New Roman"/>
          <w:sz w:val="32"/>
          <w:szCs w:val="32"/>
          <w:lang w:val="en-US" w:eastAsia="zh-CN"/>
        </w:rPr>
      </w:pPr>
      <w:r>
        <w:rPr>
          <w:rFonts w:hint="eastAsia" w:ascii="Times New Roman" w:hAnsi="Times New Roman" w:eastAsia="黑体" w:cs="Times New Roman"/>
          <w:sz w:val="32"/>
          <w:szCs w:val="32"/>
          <w:lang w:val="en-US" w:eastAsia="zh-CN"/>
        </w:rPr>
        <w:t>四、发挥国企责任担当，履行社会责任</w:t>
      </w:r>
    </w:p>
    <w:p w14:paraId="06057B9E">
      <w:pPr>
        <w:pStyle w:val="5"/>
        <w:keepNext w:val="0"/>
        <w:keepLines w:val="0"/>
        <w:pageBreakBefore w:val="0"/>
        <w:kinsoku/>
        <w:wordWrap/>
        <w:overflowPunct/>
        <w:topLinePunct w:val="0"/>
        <w:autoSpaceDE/>
        <w:autoSpaceDN/>
        <w:bidi w:val="0"/>
        <w:adjustRightInd/>
        <w:snapToGrid/>
        <w:spacing w:before="0" w:beforeAutospacing="0" w:after="0" w:line="560" w:lineRule="exact"/>
        <w:ind w:left="0" w:leftChars="0" w:firstLine="643"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b/>
          <w:bCs/>
          <w:sz w:val="32"/>
          <w:szCs w:val="32"/>
          <w:lang w:val="en-US" w:eastAsia="zh-CN"/>
        </w:rPr>
        <w:t>1.</w:t>
      </w:r>
      <w:r>
        <w:rPr>
          <w:rFonts w:hint="default" w:ascii="Times New Roman" w:hAnsi="Times New Roman" w:eastAsia="仿宋_GB2312" w:cs="Times New Roman"/>
          <w:b/>
          <w:bCs/>
          <w:sz w:val="32"/>
          <w:szCs w:val="32"/>
        </w:rPr>
        <w:t>乡村振兴帮扶措施落实到位。</w:t>
      </w:r>
      <w:r>
        <w:rPr>
          <w:rFonts w:hint="default" w:ascii="Times New Roman" w:hAnsi="Times New Roman" w:eastAsia="仿宋_GB2312" w:cs="Times New Roman"/>
          <w:sz w:val="32"/>
          <w:szCs w:val="32"/>
        </w:rPr>
        <w:t>调整派驻第九批帮扶干部，深化与金寨县青山镇汤店村、燕子河镇张畈村联结共建。制定</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2024年度乡村振兴帮扶计划</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，持续开展帮扶走访慰问，做好2025年爱心报刊公益捐赠活动。给予汤店村“点亮乡村工程”资金支持42.8万元。</w:t>
      </w:r>
    </w:p>
    <w:p w14:paraId="4FC86FF5">
      <w:pPr>
        <w:pStyle w:val="5"/>
        <w:keepNext w:val="0"/>
        <w:keepLines w:val="0"/>
        <w:pageBreakBefore w:val="0"/>
        <w:kinsoku/>
        <w:wordWrap/>
        <w:overflowPunct/>
        <w:topLinePunct w:val="0"/>
        <w:autoSpaceDE/>
        <w:autoSpaceDN/>
        <w:bidi w:val="0"/>
        <w:adjustRightInd/>
        <w:snapToGrid/>
        <w:spacing w:before="0" w:beforeAutospacing="0" w:after="0" w:line="560" w:lineRule="exact"/>
        <w:ind w:left="0" w:leftChars="0"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2.</w:t>
      </w:r>
      <w:r>
        <w:rPr>
          <w:rFonts w:hint="default" w:ascii="Times New Roman" w:hAnsi="Times New Roman" w:eastAsia="仿宋_GB2312" w:cs="Times New Roman"/>
          <w:b/>
          <w:bCs/>
          <w:sz w:val="32"/>
          <w:szCs w:val="32"/>
        </w:rPr>
        <w:t>社区结对共建内容丰富。</w:t>
      </w:r>
      <w:r>
        <w:rPr>
          <w:rFonts w:hint="default" w:ascii="Times New Roman" w:hAnsi="Times New Roman" w:eastAsia="仿宋_GB2312" w:cs="Times New Roman"/>
          <w:sz w:val="32"/>
          <w:szCs w:val="32"/>
        </w:rPr>
        <w:t>定期与正阳社区十里铺小区召开党建联盟会议共商共建举措，常态化开展“我们的节日”主题活动、铲雪除冰、无偿献血、普法进社区、清洁家园等系列志愿服务活动。</w:t>
      </w:r>
    </w:p>
    <w:p w14:paraId="32D628C6">
      <w:pPr>
        <w:pStyle w:val="5"/>
        <w:keepNext w:val="0"/>
        <w:keepLines w:val="0"/>
        <w:pageBreakBefore w:val="0"/>
        <w:kinsoku/>
        <w:wordWrap/>
        <w:overflowPunct/>
        <w:topLinePunct w:val="0"/>
        <w:autoSpaceDE/>
        <w:autoSpaceDN/>
        <w:bidi w:val="0"/>
        <w:adjustRightInd/>
        <w:snapToGrid/>
        <w:spacing w:before="0" w:beforeAutospacing="0" w:after="0" w:line="560" w:lineRule="exact"/>
        <w:ind w:left="0" w:leftChars="0" w:firstLine="640" w:firstLineChars="200"/>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val="en-US" w:eastAsia="zh-CN"/>
        </w:rPr>
        <w:t>3.</w:t>
      </w:r>
      <w:r>
        <w:rPr>
          <w:rFonts w:hint="default" w:ascii="Times New Roman" w:hAnsi="Times New Roman" w:eastAsia="仿宋_GB2312" w:cs="Times New Roman"/>
          <w:b/>
          <w:bCs/>
          <w:sz w:val="32"/>
          <w:szCs w:val="32"/>
        </w:rPr>
        <w:t>文明创建成果良好。</w:t>
      </w:r>
      <w:r>
        <w:rPr>
          <w:rFonts w:hint="default" w:ascii="Times New Roman" w:hAnsi="Times New Roman" w:eastAsia="仿宋_GB2312" w:cs="Times New Roman"/>
          <w:sz w:val="32"/>
          <w:szCs w:val="32"/>
        </w:rPr>
        <w:t>申报获评第十二届市直文明单位，全年举办4期道德讲堂。组织开展无偿献血、“慈善一日捐”“夏季送清凉”以及为帮扶村学校捐赠图书等活动</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b w:val="0"/>
          <w:bCs/>
          <w:sz w:val="32"/>
          <w:szCs w:val="32"/>
        </w:rPr>
        <w:t>志愿服务和爱心捐助活动取得成效，</w:t>
      </w:r>
      <w:r>
        <w:rPr>
          <w:rFonts w:hint="default" w:ascii="Times New Roman" w:hAnsi="Times New Roman" w:eastAsia="仿宋_GB2312" w:cs="Times New Roman"/>
          <w:b w:val="0"/>
          <w:bCs/>
          <w:color w:val="auto"/>
          <w:sz w:val="32"/>
          <w:szCs w:val="32"/>
        </w:rPr>
        <w:t>组织开展志愿服务活动</w:t>
      </w:r>
      <w:r>
        <w:rPr>
          <w:rFonts w:hint="eastAsia" w:ascii="Times New Roman" w:hAnsi="Times New Roman" w:eastAsia="仿宋_GB2312" w:cs="Times New Roman"/>
          <w:b w:val="0"/>
          <w:bCs/>
          <w:color w:val="auto"/>
          <w:sz w:val="32"/>
          <w:szCs w:val="32"/>
          <w:lang w:val="en-US" w:eastAsia="zh-CN"/>
        </w:rPr>
        <w:t>12次</w:t>
      </w:r>
      <w:r>
        <w:rPr>
          <w:rFonts w:hint="eastAsia" w:ascii="Times New Roman" w:hAnsi="Times New Roman" w:eastAsia="仿宋_GB2312" w:cs="Times New Roman"/>
          <w:b w:val="0"/>
          <w:bCs/>
          <w:color w:val="auto"/>
          <w:sz w:val="32"/>
          <w:szCs w:val="32"/>
          <w:lang w:eastAsia="zh-CN"/>
        </w:rPr>
        <w:t>（</w:t>
      </w:r>
      <w:r>
        <w:rPr>
          <w:rFonts w:hint="eastAsia" w:ascii="Times New Roman" w:hAnsi="Times New Roman" w:eastAsia="仿宋_GB2312" w:cs="Times New Roman"/>
          <w:b w:val="0"/>
          <w:bCs/>
          <w:color w:val="auto"/>
          <w:sz w:val="32"/>
          <w:szCs w:val="32"/>
          <w:lang w:val="en-US" w:eastAsia="zh-CN"/>
        </w:rPr>
        <w:t>104</w:t>
      </w:r>
      <w:r>
        <w:rPr>
          <w:rFonts w:hint="default" w:ascii="Times New Roman" w:hAnsi="Times New Roman" w:eastAsia="仿宋_GB2312" w:cs="Times New Roman"/>
          <w:b w:val="0"/>
          <w:bCs/>
          <w:color w:val="auto"/>
          <w:sz w:val="32"/>
          <w:szCs w:val="32"/>
        </w:rPr>
        <w:t>人次</w:t>
      </w:r>
      <w:r>
        <w:rPr>
          <w:rFonts w:hint="eastAsia" w:ascii="Times New Roman" w:hAnsi="Times New Roman" w:eastAsia="仿宋_GB2312" w:cs="Times New Roman"/>
          <w:b w:val="0"/>
          <w:bCs/>
          <w:color w:val="auto"/>
          <w:sz w:val="32"/>
          <w:szCs w:val="32"/>
          <w:lang w:eastAsia="zh-CN"/>
        </w:rPr>
        <w:t>）</w:t>
      </w:r>
      <w:r>
        <w:rPr>
          <w:rFonts w:hint="default" w:ascii="Times New Roman" w:hAnsi="Times New Roman" w:eastAsia="仿宋_GB2312" w:cs="Times New Roman"/>
          <w:b w:val="0"/>
          <w:bCs/>
          <w:color w:val="auto"/>
          <w:sz w:val="32"/>
          <w:szCs w:val="32"/>
        </w:rPr>
        <w:t>，</w:t>
      </w:r>
      <w:r>
        <w:rPr>
          <w:rFonts w:hint="eastAsia" w:ascii="Times New Roman" w:hAnsi="Times New Roman" w:eastAsia="仿宋_GB2312" w:cs="Times New Roman"/>
          <w:b w:val="0"/>
          <w:bCs/>
          <w:color w:val="auto"/>
          <w:sz w:val="32"/>
          <w:szCs w:val="32"/>
          <w:lang w:val="en-US" w:eastAsia="zh-CN"/>
        </w:rPr>
        <w:t>活动率100%；</w:t>
      </w:r>
      <w:r>
        <w:rPr>
          <w:rFonts w:hint="default" w:ascii="Times New Roman" w:hAnsi="Times New Roman" w:eastAsia="仿宋_GB2312" w:cs="Times New Roman"/>
          <w:sz w:val="32"/>
          <w:szCs w:val="32"/>
        </w:rPr>
        <w:t>动员公司全体职工“99公益日”爱心捐款4119.16元</w:t>
      </w:r>
      <w:r>
        <w:rPr>
          <w:rFonts w:hint="eastAsia" w:ascii="Times New Roman" w:hAnsi="Times New Roman" w:eastAsia="仿宋_GB2312" w:cs="Times New Roman"/>
          <w:sz w:val="32"/>
          <w:szCs w:val="32"/>
          <w:lang w:eastAsia="zh-CN"/>
        </w:rPr>
        <w:t>。</w:t>
      </w:r>
    </w:p>
    <w:p w14:paraId="4B25D166">
      <w:pPr>
        <w:pStyle w:val="5"/>
        <w:keepNext w:val="0"/>
        <w:keepLines w:val="0"/>
        <w:pageBreakBefore w:val="0"/>
        <w:kinsoku/>
        <w:wordWrap/>
        <w:overflowPunct/>
        <w:topLinePunct w:val="0"/>
        <w:autoSpaceDE/>
        <w:autoSpaceDN/>
        <w:bidi w:val="0"/>
        <w:adjustRightInd/>
        <w:snapToGrid/>
        <w:spacing w:before="0" w:beforeAutospacing="0" w:after="0" w:line="560" w:lineRule="exact"/>
        <w:ind w:left="0" w:leftChars="0"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4.</w:t>
      </w:r>
      <w:r>
        <w:rPr>
          <w:rFonts w:hint="default" w:ascii="Times New Roman" w:hAnsi="Times New Roman" w:eastAsia="仿宋_GB2312" w:cs="Times New Roman"/>
          <w:b/>
          <w:bCs/>
          <w:sz w:val="32"/>
          <w:szCs w:val="32"/>
        </w:rPr>
        <w:t>双拥共建持续推进。</w:t>
      </w:r>
      <w:r>
        <w:rPr>
          <w:rFonts w:hint="default" w:ascii="Times New Roman" w:hAnsi="Times New Roman" w:eastAsia="仿宋_GB2312" w:cs="Times New Roman"/>
          <w:sz w:val="32"/>
          <w:szCs w:val="32"/>
        </w:rPr>
        <w:t>“八一”期间，组织走访慰问六安军分区及驻独山部队，慰问费共4万元。</w:t>
      </w:r>
    </w:p>
    <w:p w14:paraId="7C54E632">
      <w:pPr>
        <w:keepNext w:val="0"/>
        <w:keepLines w:val="0"/>
        <w:pageBreakBefore w:val="0"/>
        <w:widowControl w:val="0"/>
        <w:suppressLineNumbers w:val="0"/>
        <w:suppressAutoHyphens w:val="0"/>
        <w:kinsoku/>
        <w:wordWrap/>
        <w:overflowPunct/>
        <w:topLinePunct w:val="0"/>
        <w:autoSpaceDE/>
        <w:autoSpaceDN/>
        <w:spacing w:after="0" w:line="560" w:lineRule="exact"/>
        <w:ind w:left="0" w:firstLine="640" w:firstLineChars="200"/>
        <w:rPr>
          <w:rFonts w:ascii="Times New Roman" w:hAnsi="Times New Roman" w:eastAsia="楷体"/>
          <w:b/>
          <w:bCs/>
          <w:kern w:val="2"/>
          <w:sz w:val="32"/>
          <w:szCs w:val="32"/>
        </w:rPr>
      </w:pPr>
      <w:r>
        <w:rPr>
          <w:rFonts w:hint="eastAsia" w:ascii="Times New Roman" w:hAnsi="Times New Roman" w:eastAsia="仿宋_GB2312" w:cs="Times New Roman"/>
          <w:sz w:val="32"/>
          <w:szCs w:val="32"/>
          <w:lang w:val="en-US" w:eastAsia="zh-CN"/>
        </w:rPr>
        <w:t>5.</w:t>
      </w:r>
      <w:r>
        <w:rPr>
          <w:rFonts w:hint="eastAsia" w:ascii="仿宋_GB2312" w:eastAsia="仿宋_GB2312"/>
          <w:b/>
          <w:bCs/>
          <w:color w:val="auto"/>
          <w:kern w:val="2"/>
          <w:sz w:val="32"/>
          <w:szCs w:val="32"/>
        </w:rPr>
        <w:t>认真履行国防教育职责。</w:t>
      </w:r>
      <w:r>
        <w:rPr>
          <w:rFonts w:hint="eastAsia" w:ascii="仿宋_GB2312" w:eastAsia="仿宋_GB2312"/>
          <w:kern w:val="2"/>
          <w:sz w:val="32"/>
          <w:szCs w:val="32"/>
        </w:rPr>
        <w:t>成立人民武装部，认真开展人民武装和国防教育工作。</w:t>
      </w:r>
    </w:p>
    <w:p w14:paraId="4F5B1C21">
      <w:pPr>
        <w:keepNext w:val="0"/>
        <w:keepLines w:val="0"/>
        <w:pageBreakBefore w:val="0"/>
        <w:widowControl w:val="0"/>
        <w:kinsoku/>
        <w:wordWrap/>
        <w:overflowPunct/>
        <w:topLinePunct w:val="0"/>
        <w:autoSpaceDE/>
        <w:autoSpaceDN/>
        <w:bidi w:val="0"/>
        <w:adjustRightInd/>
        <w:snapToGrid/>
        <w:spacing w:beforeAutospacing="0" w:line="560" w:lineRule="exact"/>
        <w:ind w:firstLine="640" w:firstLineChars="200"/>
        <w:textAlignment w:val="auto"/>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五、深化国企改革，全面提升企业治理水平</w:t>
      </w:r>
    </w:p>
    <w:p w14:paraId="6D564DA3">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1.重组整合全面完成。</w:t>
      </w:r>
      <w:r>
        <w:rPr>
          <w:rFonts w:hint="eastAsia" w:ascii="Times New Roman" w:hAnsi="Times New Roman" w:eastAsia="仿宋_GB2312" w:cs="Times New Roman"/>
          <w:kern w:val="2"/>
          <w:sz w:val="32"/>
          <w:szCs w:val="32"/>
          <w:lang w:val="en-US" w:eastAsia="zh-CN" w:bidi="ar-SA"/>
        </w:rPr>
        <w:t>市城投公司认真贯彻国资委文件精神，深化国资国企改革，按照“产权明确、业务集中、风险可控”原则及“机构整合、人员精简、压缩成本”的要求，对公司内设部门和所属公司进行精简整合，将公司原12个内设部门精简优化为8个，将原9个所属二级公司、8个三级公司，重组为3个所属二级公司、11个三级公司。通过精简母公司、壮大二级公司、灵活三级公司，将中坚力量充实到各子公司，配齐子公司领导班子，实现进一步“瘦身健体”。</w:t>
      </w:r>
    </w:p>
    <w:p w14:paraId="2A48359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仿宋_GB2312" w:cs="Times New Roman"/>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2.法人治理结构不断完善。</w:t>
      </w:r>
      <w:r>
        <w:rPr>
          <w:rFonts w:hint="eastAsia" w:ascii="Times New Roman" w:hAnsi="Times New Roman" w:eastAsia="仿宋_GB2312" w:cs="Times New Roman"/>
          <w:kern w:val="2"/>
          <w:sz w:val="32"/>
          <w:szCs w:val="32"/>
          <w:lang w:val="en-US" w:eastAsia="zh-CN" w:bidi="ar-SA"/>
        </w:rPr>
        <w:t>落实党委对重大事项的前置研究，厘清“三会一层”权责边界，推动形成各司其职、各负其责、协调运转、有效制衡的</w:t>
      </w:r>
      <w:r>
        <w:rPr>
          <w:rFonts w:hint="eastAsia" w:ascii="Times New Roman" w:hAnsi="Times New Roman" w:eastAsia="仿宋_GB2312" w:cs="Times New Roman"/>
          <w:kern w:val="2"/>
          <w:sz w:val="32"/>
          <w:szCs w:val="32"/>
          <w:lang w:val="en-US" w:eastAsia="zh-CN" w:bidi="ar-SA"/>
        </w:rPr>
        <w:fldChar w:fldCharType="begin"/>
      </w:r>
      <w:r>
        <w:rPr>
          <w:rFonts w:hint="eastAsia" w:ascii="Times New Roman" w:hAnsi="Times New Roman" w:eastAsia="仿宋_GB2312" w:cs="Times New Roman"/>
          <w:kern w:val="2"/>
          <w:sz w:val="32"/>
          <w:szCs w:val="32"/>
          <w:lang w:val="en-US" w:eastAsia="zh-CN" w:bidi="ar-SA"/>
        </w:rPr>
        <w:instrText xml:space="preserve"> HYPERLINK "https://baike.baidu.com/item/%E5%85%AC%E5%8F%B8%E6%B2%BB%E7%90%86%E6%9C%BA%E5%88%B6/242968" \t "_blank" </w:instrText>
      </w:r>
      <w:r>
        <w:rPr>
          <w:rFonts w:hint="eastAsia" w:ascii="Times New Roman" w:hAnsi="Times New Roman" w:eastAsia="仿宋_GB2312" w:cs="Times New Roman"/>
          <w:kern w:val="2"/>
          <w:sz w:val="32"/>
          <w:szCs w:val="32"/>
          <w:lang w:val="en-US" w:eastAsia="zh-CN" w:bidi="ar-SA"/>
        </w:rPr>
        <w:fldChar w:fldCharType="separate"/>
      </w:r>
      <w:r>
        <w:rPr>
          <w:rFonts w:hint="eastAsia" w:ascii="Times New Roman" w:hAnsi="Times New Roman" w:eastAsia="仿宋_GB2312" w:cs="Times New Roman"/>
          <w:kern w:val="2"/>
          <w:sz w:val="32"/>
          <w:szCs w:val="32"/>
          <w:lang w:val="en-US" w:eastAsia="zh-CN" w:bidi="ar-SA"/>
        </w:rPr>
        <w:t>公司治理机制</w:t>
      </w:r>
      <w:r>
        <w:rPr>
          <w:rFonts w:hint="eastAsia" w:ascii="Times New Roman" w:hAnsi="Times New Roman" w:eastAsia="仿宋_GB2312" w:cs="Times New Roman"/>
          <w:kern w:val="2"/>
          <w:sz w:val="32"/>
          <w:szCs w:val="32"/>
          <w:lang w:val="en-US" w:eastAsia="zh-CN" w:bidi="ar-SA"/>
        </w:rPr>
        <w:fldChar w:fldCharType="end"/>
      </w:r>
      <w:r>
        <w:rPr>
          <w:rFonts w:hint="eastAsia" w:ascii="Times New Roman" w:hAnsi="Times New Roman" w:eastAsia="仿宋_GB2312" w:cs="Times New Roman"/>
          <w:kern w:val="2"/>
          <w:sz w:val="32"/>
          <w:szCs w:val="32"/>
          <w:lang w:val="en-US" w:eastAsia="zh-CN" w:bidi="ar-SA"/>
        </w:rPr>
        <w:t>；完善公司党委、董事会和经理层权责清单，落实各级公司董事长、总经理分设要求，取消经理层兼任二级公司主要负责人；完善公司章程、董事会议事规则、总经理工作规则；推行经理层任期制和契约化管理质量提升工程。</w:t>
      </w:r>
    </w:p>
    <w:p w14:paraId="62FFF49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left"/>
        <w:textAlignment w:val="auto"/>
        <w:rPr>
          <w:rFonts w:hint="eastAsia" w:ascii="Times New Roman" w:hAnsi="Times New Roman" w:eastAsia="仿宋_GB2312" w:cs="Times New Roman"/>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3.合规内控管理一体推进。</w:t>
      </w:r>
      <w:r>
        <w:rPr>
          <w:rFonts w:hint="eastAsia" w:ascii="Times New Roman" w:hAnsi="Times New Roman" w:eastAsia="仿宋_GB2312" w:cs="Times New Roman"/>
          <w:kern w:val="2"/>
          <w:sz w:val="32"/>
          <w:szCs w:val="32"/>
          <w:lang w:val="en-US" w:eastAsia="zh-CN" w:bidi="ar-SA"/>
        </w:rPr>
        <w:t>有计划对所属各公司开展内部审计，内审工作在全市内审工作交流会上作经验分享，被市审计局列为全市五家建立审计协同机制试点单位之一。</w:t>
      </w:r>
      <w:r>
        <w:rPr>
          <w:rFonts w:hint="default" w:ascii="Times New Roman" w:hAnsi="Times New Roman" w:eastAsia="仿宋_GB2312" w:cs="Times New Roman"/>
          <w:kern w:val="2"/>
          <w:sz w:val="32"/>
          <w:szCs w:val="32"/>
          <w:lang w:val="en-US" w:eastAsia="zh-CN" w:bidi="ar-SA"/>
        </w:rPr>
        <w:t>深化依法治企</w:t>
      </w:r>
      <w:r>
        <w:rPr>
          <w:rFonts w:hint="eastAsia" w:ascii="Times New Roman" w:hAnsi="Times New Roman" w:eastAsia="仿宋_GB2312" w:cs="Times New Roman"/>
          <w:kern w:val="2"/>
          <w:sz w:val="32"/>
          <w:szCs w:val="32"/>
          <w:lang w:val="en-US" w:eastAsia="zh-CN" w:bidi="ar-SA"/>
        </w:rPr>
        <w:t>，公司</w:t>
      </w:r>
      <w:r>
        <w:rPr>
          <w:rFonts w:hint="default" w:ascii="Times New Roman" w:hAnsi="Times New Roman" w:eastAsia="仿宋_GB2312" w:cs="Times New Roman"/>
          <w:kern w:val="2"/>
          <w:sz w:val="32"/>
          <w:szCs w:val="32"/>
          <w:lang w:val="en-US" w:eastAsia="zh-CN" w:bidi="ar-SA"/>
        </w:rPr>
        <w:t>法务全程参与投融资等重大事项，管理制度、经济合同法律审核率100%</w:t>
      </w:r>
      <w:r>
        <w:rPr>
          <w:rFonts w:hint="eastAsia" w:ascii="Times New Roman" w:hAnsi="Times New Roman" w:eastAsia="仿宋_GB2312" w:cs="Times New Roman"/>
          <w:kern w:val="2"/>
          <w:sz w:val="32"/>
          <w:szCs w:val="32"/>
          <w:lang w:val="en-US" w:eastAsia="zh-CN" w:bidi="ar-SA"/>
        </w:rPr>
        <w:t>。</w:t>
      </w:r>
      <w:r>
        <w:rPr>
          <w:rFonts w:hint="default" w:ascii="Times New Roman" w:hAnsi="Times New Roman" w:eastAsia="仿宋_GB2312" w:cs="Times New Roman"/>
          <w:kern w:val="2"/>
          <w:sz w:val="32"/>
          <w:szCs w:val="32"/>
          <w:lang w:val="en-US" w:eastAsia="zh-CN" w:bidi="ar-SA"/>
        </w:rPr>
        <w:t>深入开展“法律学习月”“宪法宣传周”等合规文化宣传活动，</w:t>
      </w:r>
      <w:r>
        <w:rPr>
          <w:rFonts w:hint="eastAsia" w:ascii="Times New Roman" w:hAnsi="Times New Roman" w:eastAsia="仿宋_GB2312" w:cs="Times New Roman"/>
          <w:kern w:val="2"/>
          <w:sz w:val="32"/>
          <w:szCs w:val="32"/>
          <w:lang w:val="en-US" w:eastAsia="zh-CN" w:bidi="ar-SA"/>
        </w:rPr>
        <w:t>完善业务制度和工作流程，制定公司合规内控管理手册，包含67个工作流程图、145条风险评估标准、135条合规评价标准。公司合规管理工作在全市国有企业合规管理工作交流会上作经验分享，在市律师行业“首届大别山律师高质量发展论</w:t>
      </w:r>
      <w:r>
        <w:rPr>
          <w:rFonts w:hint="default" w:ascii="Times New Roman" w:hAnsi="Times New Roman" w:eastAsia="仿宋_GB2312" w:cs="Times New Roman"/>
          <w:kern w:val="2"/>
          <w:sz w:val="32"/>
          <w:szCs w:val="32"/>
          <w:lang w:val="en-US" w:eastAsia="zh-CN" w:bidi="ar-SA"/>
        </w:rPr>
        <w:t>坛”上</w:t>
      </w:r>
      <w:bookmarkStart w:id="0" w:name="_GoBack"/>
      <w:r>
        <w:rPr>
          <w:rFonts w:hint="eastAsia" w:ascii="Times New Roman" w:hAnsi="Times New Roman" w:eastAsia="仿宋_GB2312" w:cs="Times New Roman"/>
          <w:kern w:val="2"/>
          <w:sz w:val="32"/>
          <w:szCs w:val="32"/>
          <w:lang w:val="en-US" w:eastAsia="zh-CN" w:bidi="ar-SA"/>
        </w:rPr>
        <w:t>作为</w:t>
      </w:r>
      <w:bookmarkEnd w:id="0"/>
      <w:r>
        <w:rPr>
          <w:rFonts w:hint="default" w:ascii="Times New Roman" w:hAnsi="Times New Roman" w:eastAsia="仿宋_GB2312" w:cs="Times New Roman"/>
          <w:kern w:val="2"/>
          <w:sz w:val="32"/>
          <w:szCs w:val="32"/>
          <w:lang w:val="en-US" w:eastAsia="zh-CN" w:bidi="ar-SA"/>
        </w:rPr>
        <w:t>“律企共建”案例推介宣传。</w:t>
      </w:r>
    </w:p>
    <w:p w14:paraId="517ABEEF">
      <w:pPr>
        <w:pStyle w:val="5"/>
        <w:keepNext w:val="0"/>
        <w:keepLines w:val="0"/>
        <w:pageBreakBefore w:val="0"/>
        <w:kinsoku/>
        <w:wordWrap/>
        <w:overflowPunct/>
        <w:topLinePunct w:val="0"/>
        <w:autoSpaceDE/>
        <w:autoSpaceDN/>
        <w:bidi w:val="0"/>
        <w:adjustRightInd/>
        <w:snapToGrid/>
        <w:spacing w:before="0" w:beforeAutospacing="0" w:after="0" w:line="560" w:lineRule="exact"/>
        <w:ind w:left="0" w:leftChars="0" w:firstLine="640" w:firstLineChars="200"/>
        <w:textAlignment w:val="auto"/>
        <w:rPr>
          <w:rFonts w:hint="default" w:ascii="Times New Roman" w:hAnsi="Times New Roman" w:eastAsia="仿宋_GB2312" w:cs="Times New Roman"/>
          <w:kern w:val="2"/>
          <w:sz w:val="32"/>
          <w:szCs w:val="32"/>
          <w:lang w:val="en-US" w:eastAsia="zh-CN" w:bidi="ar-SA"/>
        </w:rPr>
      </w:pPr>
    </w:p>
    <w:p w14:paraId="2A434F6E">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kern w:val="2"/>
          <w:sz w:val="32"/>
          <w:szCs w:val="32"/>
          <w:lang w:val="en-US" w:eastAsia="zh-CN" w:bidi="ar-SA"/>
        </w:rPr>
      </w:pPr>
    </w:p>
    <w:p w14:paraId="52B8FA8E">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楷体" w:hAnsi="楷体" w:eastAsia="楷体" w:cs="楷体"/>
          <w:sz w:val="32"/>
          <w:szCs w:val="32"/>
        </w:rPr>
      </w:pPr>
    </w:p>
    <w:p w14:paraId="3748BC20">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楷体" w:hAnsi="楷体" w:eastAsia="楷体" w:cs="楷体"/>
          <w:sz w:val="32"/>
          <w:szCs w:val="32"/>
        </w:rPr>
      </w:pPr>
    </w:p>
    <w:p w14:paraId="65D65F04">
      <w:pPr>
        <w:pStyle w:val="2"/>
        <w:keepNext w:val="0"/>
        <w:keepLines w:val="0"/>
        <w:pageBreakBefore w:val="0"/>
        <w:kinsoku/>
        <w:wordWrap/>
        <w:overflowPunct/>
        <w:topLinePunct w:val="0"/>
        <w:autoSpaceDE/>
        <w:autoSpaceDN/>
        <w:bidi w:val="0"/>
        <w:adjustRightInd/>
        <w:snapToGrid/>
        <w:spacing w:line="560" w:lineRule="exact"/>
        <w:textAlignment w:val="auto"/>
      </w:pPr>
    </w:p>
    <w:sectPr>
      <w:footerReference r:id="rId5" w:type="default"/>
      <w:pgSz w:w="11906" w:h="16838"/>
      <w:pgMar w:top="2098" w:right="1474" w:bottom="1984" w:left="1474" w:header="851" w:footer="1361"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796964">
    <w:pPr>
      <w:pStyle w:val="9"/>
      <w:ind w:right="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1ADB8E">
    <w:pPr>
      <w:pStyle w:val="9"/>
      <w:ind w:right="360" w:firstLine="361"/>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B01377D">
                          <w:pPr>
                            <w:pStyle w:val="9"/>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rPr>
                            <w:t>8</w:t>
                          </w:r>
                          <w:r>
                            <w:rPr>
                              <w:rFonts w:ascii="Times New Roman" w:hAnsi="Times New Roman"/>
                              <w:sz w:val="28"/>
                              <w:szCs w:val="28"/>
                            </w:rPr>
                            <w:fldChar w:fldCharType="end"/>
                          </w:r>
                          <w:r>
                            <w:rPr>
                              <w:rFonts w:ascii="Times New Roman" w:hAnsi="Times New Roman"/>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2B01377D">
                    <w:pPr>
                      <w:pStyle w:val="9"/>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rPr>
                      <w:t>8</w:t>
                    </w:r>
                    <w:r>
                      <w:rPr>
                        <w:rFonts w:ascii="Times New Roman" w:hAnsi="Times New Roman"/>
                        <w:sz w:val="28"/>
                        <w:szCs w:val="28"/>
                      </w:rPr>
                      <w:fldChar w:fldCharType="end"/>
                    </w:r>
                    <w:r>
                      <w:rPr>
                        <w:rFonts w:ascii="Times New Roman" w:hAnsi="Times New Roman"/>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928627">
    <w:pPr>
      <w:pStyle w:val="10"/>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k1MTVmM2JjNTIyYWUwMmMzMGQzODJiODk4OWZmNGEifQ=="/>
  </w:docVars>
  <w:rsids>
    <w:rsidRoot w:val="597D6C43"/>
    <w:rsid w:val="00294E69"/>
    <w:rsid w:val="007208BB"/>
    <w:rsid w:val="00727A76"/>
    <w:rsid w:val="009E1BD3"/>
    <w:rsid w:val="00A13FEC"/>
    <w:rsid w:val="00BA4875"/>
    <w:rsid w:val="01657C13"/>
    <w:rsid w:val="01C52551"/>
    <w:rsid w:val="03106BE3"/>
    <w:rsid w:val="03D270B5"/>
    <w:rsid w:val="06102881"/>
    <w:rsid w:val="07283BBC"/>
    <w:rsid w:val="077E735A"/>
    <w:rsid w:val="085A36BF"/>
    <w:rsid w:val="085E53BC"/>
    <w:rsid w:val="0A586566"/>
    <w:rsid w:val="0CA84FD3"/>
    <w:rsid w:val="0DBE6AAA"/>
    <w:rsid w:val="0F0E7940"/>
    <w:rsid w:val="103A1C30"/>
    <w:rsid w:val="125735A8"/>
    <w:rsid w:val="13706BF0"/>
    <w:rsid w:val="182932F0"/>
    <w:rsid w:val="1DA533DB"/>
    <w:rsid w:val="27B84691"/>
    <w:rsid w:val="2A7037ED"/>
    <w:rsid w:val="2FFA4747"/>
    <w:rsid w:val="30210D83"/>
    <w:rsid w:val="30D20571"/>
    <w:rsid w:val="319C292D"/>
    <w:rsid w:val="341D74CD"/>
    <w:rsid w:val="34594B05"/>
    <w:rsid w:val="35094DA0"/>
    <w:rsid w:val="36F66753"/>
    <w:rsid w:val="375021F0"/>
    <w:rsid w:val="37690E98"/>
    <w:rsid w:val="37ED3EE3"/>
    <w:rsid w:val="3B632696"/>
    <w:rsid w:val="3B6976DE"/>
    <w:rsid w:val="3BDC2844"/>
    <w:rsid w:val="3D977A9D"/>
    <w:rsid w:val="474927B8"/>
    <w:rsid w:val="489108BA"/>
    <w:rsid w:val="498D0067"/>
    <w:rsid w:val="49A87567"/>
    <w:rsid w:val="4C7F08BF"/>
    <w:rsid w:val="4F8C310F"/>
    <w:rsid w:val="576F626A"/>
    <w:rsid w:val="57A852D8"/>
    <w:rsid w:val="57F944E3"/>
    <w:rsid w:val="5827444F"/>
    <w:rsid w:val="58AA6FF4"/>
    <w:rsid w:val="597D6C43"/>
    <w:rsid w:val="5B991B08"/>
    <w:rsid w:val="5D243653"/>
    <w:rsid w:val="5EFE726E"/>
    <w:rsid w:val="617C3A5E"/>
    <w:rsid w:val="625649E2"/>
    <w:rsid w:val="64FE6EBF"/>
    <w:rsid w:val="69686DFF"/>
    <w:rsid w:val="69FD1797"/>
    <w:rsid w:val="6A94006A"/>
    <w:rsid w:val="6DB14A8F"/>
    <w:rsid w:val="720C6738"/>
    <w:rsid w:val="766643CE"/>
    <w:rsid w:val="76AE6010"/>
    <w:rsid w:val="76C254C1"/>
    <w:rsid w:val="79960FDD"/>
    <w:rsid w:val="79BC1EC7"/>
    <w:rsid w:val="7A9C7FFB"/>
    <w:rsid w:val="7B2C5327"/>
    <w:rsid w:val="7C07400A"/>
    <w:rsid w:val="7FA206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iPriority="99"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3"/>
    <w:basedOn w:val="1"/>
    <w:next w:val="1"/>
    <w:autoRedefine/>
    <w:unhideWhenUsed/>
    <w:qFormat/>
    <w:uiPriority w:val="0"/>
    <w:pPr>
      <w:ind w:left="606"/>
      <w:outlineLvl w:val="2"/>
    </w:pPr>
    <w:rPr>
      <w:rFonts w:ascii="宋体" w:hAnsi="宋体" w:cs="宋体"/>
      <w:b/>
      <w:bCs/>
      <w:sz w:val="24"/>
      <w:lang w:val="zh-CN" w:bidi="zh-CN"/>
    </w:rPr>
  </w:style>
  <w:style w:type="character" w:default="1" w:styleId="14">
    <w:name w:val="Default Paragraph Font"/>
    <w:semiHidden/>
    <w:unhideWhenUsed/>
    <w:qFormat/>
    <w:uiPriority w:val="1"/>
  </w:style>
  <w:style w:type="table" w:default="1" w:styleId="13">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autoRedefine/>
    <w:unhideWhenUsed/>
    <w:qFormat/>
    <w:uiPriority w:val="99"/>
    <w:pPr>
      <w:spacing w:after="120"/>
    </w:pPr>
  </w:style>
  <w:style w:type="paragraph" w:styleId="4">
    <w:name w:val="annotation text"/>
    <w:basedOn w:val="1"/>
    <w:semiHidden/>
    <w:unhideWhenUsed/>
    <w:qFormat/>
    <w:uiPriority w:val="99"/>
  </w:style>
  <w:style w:type="paragraph" w:styleId="5">
    <w:name w:val="Body Text Indent"/>
    <w:basedOn w:val="1"/>
    <w:next w:val="6"/>
    <w:autoRedefine/>
    <w:qFormat/>
    <w:uiPriority w:val="0"/>
    <w:pPr>
      <w:spacing w:before="100" w:beforeAutospacing="1" w:after="120"/>
      <w:ind w:left="420" w:leftChars="200"/>
    </w:pPr>
  </w:style>
  <w:style w:type="paragraph" w:styleId="6">
    <w:name w:val="envelope return"/>
    <w:basedOn w:val="1"/>
    <w:autoRedefine/>
    <w:qFormat/>
    <w:uiPriority w:val="0"/>
    <w:pPr>
      <w:widowControl/>
    </w:pPr>
    <w:rPr>
      <w:kern w:val="0"/>
      <w:sz w:val="22"/>
      <w:szCs w:val="20"/>
      <w:lang w:val="en-GB" w:eastAsia="en-US"/>
    </w:rPr>
  </w:style>
  <w:style w:type="paragraph" w:styleId="7">
    <w:name w:val="toc 3"/>
    <w:basedOn w:val="1"/>
    <w:next w:val="1"/>
    <w:qFormat/>
    <w:uiPriority w:val="0"/>
    <w:pPr>
      <w:ind w:left="840" w:leftChars="400"/>
    </w:pPr>
  </w:style>
  <w:style w:type="paragraph" w:styleId="8">
    <w:name w:val="Plain Text"/>
    <w:basedOn w:val="1"/>
    <w:autoRedefine/>
    <w:qFormat/>
    <w:uiPriority w:val="0"/>
    <w:pPr>
      <w:adjustRightInd w:val="0"/>
      <w:snapToGrid w:val="0"/>
      <w:spacing w:line="360" w:lineRule="auto"/>
      <w:ind w:firstLine="560" w:firstLineChars="200"/>
    </w:pPr>
    <w:rPr>
      <w:rFonts w:ascii="宋体" w:hAnsi="Courier New"/>
      <w:b/>
      <w:color w:val="333333"/>
      <w:szCs w:val="21"/>
    </w:rPr>
  </w:style>
  <w:style w:type="paragraph" w:styleId="9">
    <w:name w:val="footer"/>
    <w:basedOn w:val="1"/>
    <w:autoRedefine/>
    <w:qFormat/>
    <w:uiPriority w:val="99"/>
    <w:pPr>
      <w:tabs>
        <w:tab w:val="center" w:pos="4153"/>
        <w:tab w:val="right" w:pos="8306"/>
      </w:tabs>
      <w:snapToGrid w:val="0"/>
      <w:jc w:val="left"/>
    </w:pPr>
    <w:rPr>
      <w:sz w:val="18"/>
      <w:szCs w:val="18"/>
    </w:rPr>
  </w:style>
  <w:style w:type="paragraph" w:styleId="10">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1">
    <w:name w:val="Normal (Web)"/>
    <w:basedOn w:val="1"/>
    <w:next w:val="7"/>
    <w:unhideWhenUsed/>
    <w:qFormat/>
    <w:uiPriority w:val="0"/>
    <w:pPr>
      <w:spacing w:before="100" w:beforeAutospacing="1" w:after="100" w:afterAutospacing="1"/>
      <w:jc w:val="left"/>
    </w:pPr>
    <w:rPr>
      <w:kern w:val="0"/>
      <w:sz w:val="24"/>
    </w:rPr>
  </w:style>
  <w:style w:type="paragraph" w:styleId="12">
    <w:name w:val="Body Text First Indent"/>
    <w:basedOn w:val="2"/>
    <w:autoRedefine/>
    <w:qFormat/>
    <w:uiPriority w:val="0"/>
    <w:pPr>
      <w:ind w:firstLine="100" w:firstLineChars="100"/>
    </w:pPr>
    <w:rPr>
      <w:rFonts w:ascii="Times New Roman" w:hAnsi="Times New Roman" w:eastAsia="宋体"/>
      <w:sz w:val="21"/>
      <w:szCs w:val="22"/>
    </w:rPr>
  </w:style>
  <w:style w:type="character" w:styleId="15">
    <w:name w:val="Strong"/>
    <w:basedOn w:val="14"/>
    <w:qFormat/>
    <w:uiPriority w:val="0"/>
    <w:rPr>
      <w:b/>
    </w:rPr>
  </w:style>
  <w:style w:type="character" w:styleId="16">
    <w:name w:val="annotation reference"/>
    <w:basedOn w:val="14"/>
    <w:semiHidden/>
    <w:unhideWhenUsed/>
    <w:qFormat/>
    <w:uiPriority w:val="99"/>
    <w:rPr>
      <w:sz w:val="21"/>
      <w:szCs w:val="21"/>
    </w:rPr>
  </w:style>
  <w:style w:type="paragraph" w:customStyle="1" w:styleId="17">
    <w:name w:val="List Paragraph1"/>
    <w:basedOn w:val="1"/>
    <w:autoRedefine/>
    <w:qFormat/>
    <w:uiPriority w:val="0"/>
    <w:pPr>
      <w:spacing w:line="360" w:lineRule="auto"/>
      <w:ind w:firstLine="200" w:firstLineChars="200"/>
    </w:pPr>
    <w:rPr>
      <w:rFonts w:ascii="Times New Roman" w:hAnsi="Times New Roman"/>
      <w:szCs w:val="21"/>
    </w:rPr>
  </w:style>
  <w:style w:type="paragraph" w:styleId="18">
    <w:name w:val="List Paragraph"/>
    <w:basedOn w:val="1"/>
    <w:autoRedefine/>
    <w:unhideWhenUsed/>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13</Pages>
  <Words>447</Words>
  <Characters>478</Characters>
  <Lines>41</Lines>
  <Paragraphs>11</Paragraphs>
  <TotalTime>7</TotalTime>
  <ScaleCrop>false</ScaleCrop>
  <LinksUpToDate>false</LinksUpToDate>
  <CharactersWithSpaces>494</CharactersWithSpaces>
  <Application>WPS Office_12.1.0.22483_F1E327BC-269C-435d-A152-05C5408002CA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2024-01-07T14:46:00Z</dcterms:created>
  <dc:creator>陈Q</dc:creator>
  <cp:lastModifiedBy>杨光勇</cp:lastModifiedBy>
  <cp:lastPrinted>2025-07-16T02:17:00Z</cp:lastPrinted>
  <dcterms:modified xsi:type="dcterms:W3CDTF">2025-08-15T07:45:50Z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2052-12.1.0.22483</vt:lpwstr>
  </property>
  <property fmtid="{D5CDD505-2E9C-101B-9397-08002B2CF9AE}" pid="3" name="ICV">
    <vt:lpwstr>2B618074634A425D840F05859D043612_13</vt:lpwstr>
  </property>
  <property fmtid="{D5CDD505-2E9C-101B-9397-08002B2CF9AE}" pid="4" name="KSOTemplateDocerSaveRecord">
    <vt:lpwstr>eyJoZGlkIjoiZTgwNDg5MDc3MzJiYmIwMmYwMDY4MWQwNzI5MmM5MDQiLCJ1c2VySWQiOiIxNjA4ODQ1NTY5In0=</vt:lpwstr>
  </property>
</Properties>
</file>